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val="en-US" w:eastAsia="zh-CN"/>
        </w:rPr>
        <w:t xml:space="preserve">项 目 </w:t>
      </w:r>
      <w:r>
        <w:rPr>
          <w:rFonts w:hint="eastAsia" w:ascii="宋体" w:hAnsi="宋体" w:eastAsia="宋体" w:cs="宋体"/>
          <w:b/>
          <w:bCs/>
          <w:sz w:val="32"/>
          <w:szCs w:val="32"/>
          <w:highlight w:val="none"/>
        </w:rPr>
        <w:t>需 求</w:t>
      </w:r>
    </w:p>
    <w:p>
      <w:pPr>
        <w:spacing w:line="560" w:lineRule="exact"/>
        <w:ind w:firstLine="560" w:firstLineChars="200"/>
        <w:jc w:val="lef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一、投标人</w:t>
      </w:r>
      <w:r>
        <w:rPr>
          <w:rFonts w:hint="eastAsia" w:ascii="宋体" w:hAnsi="宋体" w:eastAsia="宋体" w:cs="宋体"/>
          <w:b/>
          <w:bCs/>
          <w:color w:val="auto"/>
          <w:sz w:val="28"/>
          <w:szCs w:val="28"/>
          <w:highlight w:val="none"/>
          <w:lang w:eastAsia="zh-CN"/>
        </w:rPr>
        <w:t>资格条件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hAnsi="宋体" w:eastAsia="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1.必须是在中华人民共和国境内注册的具有独立承担民事责任能力的法人或其它组织；分公司报名的，必须提供总公司的营业执照副本复印件及总公司针对本项目授权书原件。</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hAnsi="宋体" w:eastAsia="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2.具有本项目相关的其他资质。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hAnsi="宋体" w:eastAsia="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3.投标人提供在近三年内商业活动中无违法、违规、违纪、违约行为的书面声明。</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35" w:firstLineChars="227"/>
        <w:jc w:val="left"/>
        <w:textAlignment w:val="auto"/>
        <w:rPr>
          <w:rFonts w:hint="eastAsia" w:ascii="宋体" w:hAnsi="宋体" w:eastAsia="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5.本项目不接受联合体报名。</w:t>
      </w:r>
    </w:p>
    <w:p>
      <w:pPr>
        <w:widowControl/>
        <w:spacing w:line="240" w:lineRule="auto"/>
        <w:ind w:firstLine="635" w:firstLineChars="227"/>
        <w:jc w:val="left"/>
        <w:rPr>
          <w:rFonts w:hint="eastAsia" w:ascii="宋体" w:hAnsi="宋体" w:eastAsia="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6.单位负责人为同一人或者存在直接控股、管理关系的不同投标人，不得参加同一项目报价, 一经发现按废标处理并标记为不诚信供应商。</w:t>
      </w:r>
    </w:p>
    <w:p>
      <w:pPr>
        <w:spacing w:line="56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二</w:t>
      </w:r>
      <w:r>
        <w:rPr>
          <w:rFonts w:hint="eastAsia" w:ascii="宋体" w:hAnsi="宋体" w:eastAsia="宋体" w:cs="宋体"/>
          <w:b/>
          <w:bCs/>
          <w:color w:val="auto"/>
          <w:sz w:val="28"/>
          <w:szCs w:val="28"/>
          <w:highlight w:val="none"/>
        </w:rPr>
        <w:t>、需求调查情况</w:t>
      </w:r>
    </w:p>
    <w:p>
      <w:pPr>
        <w:spacing w:line="560" w:lineRule="exact"/>
        <w:ind w:firstLine="560" w:firstLineChars="200"/>
        <w:jc w:val="left"/>
        <w:rPr>
          <w:rFonts w:hint="eastAsia" w:ascii="宋体" w:hAnsi="宋体" w:eastAsia="宋体" w:cs="宋体"/>
          <w:i w:val="0"/>
          <w:iCs/>
          <w:color w:val="auto"/>
          <w:sz w:val="28"/>
          <w:szCs w:val="28"/>
          <w:highlight w:val="none"/>
          <w:u w:val="none"/>
          <w:lang w:eastAsia="zh-CN"/>
        </w:rPr>
      </w:pPr>
      <w:r>
        <w:rPr>
          <w:rFonts w:hint="eastAsia" w:ascii="宋体" w:hAnsi="宋体" w:eastAsia="宋体" w:cs="宋体"/>
          <w:i w:val="0"/>
          <w:iCs/>
          <w:color w:val="auto"/>
          <w:sz w:val="28"/>
          <w:szCs w:val="28"/>
          <w:highlight w:val="none"/>
          <w:u w:val="none"/>
          <w:lang w:eastAsia="zh-CN"/>
        </w:rPr>
        <w:t>依据</w:t>
      </w:r>
      <w:r>
        <w:rPr>
          <w:rFonts w:hint="eastAsia" w:ascii="宋体" w:hAnsi="宋体" w:eastAsia="宋体" w:cs="宋体"/>
          <w:i w:val="0"/>
          <w:iCs/>
          <w:color w:val="auto"/>
          <w:sz w:val="28"/>
          <w:szCs w:val="28"/>
          <w:highlight w:val="none"/>
          <w:u w:val="none"/>
        </w:rPr>
        <w:t>《政府采购需求管理办法》第十一条规定</w:t>
      </w:r>
      <w:r>
        <w:rPr>
          <w:rFonts w:hint="eastAsia" w:ascii="宋体" w:hAnsi="宋体" w:eastAsia="宋体" w:cs="宋体"/>
          <w:i w:val="0"/>
          <w:iCs/>
          <w:color w:val="auto"/>
          <w:sz w:val="28"/>
          <w:szCs w:val="28"/>
          <w:highlight w:val="none"/>
          <w:u w:val="none"/>
          <w:lang w:eastAsia="zh-CN"/>
        </w:rPr>
        <w:t>，</w:t>
      </w:r>
      <w:r>
        <w:rPr>
          <w:rFonts w:hint="eastAsia" w:ascii="宋体" w:hAnsi="宋体" w:eastAsia="宋体" w:cs="宋体"/>
          <w:i w:val="0"/>
          <w:iCs/>
          <w:color w:val="auto"/>
          <w:sz w:val="28"/>
          <w:szCs w:val="28"/>
          <w:highlight w:val="none"/>
          <w:u w:val="none"/>
        </w:rPr>
        <w:t>对于</w:t>
      </w:r>
      <w:r>
        <w:rPr>
          <w:rFonts w:hint="eastAsia" w:ascii="宋体" w:hAnsi="宋体" w:eastAsia="宋体" w:cs="宋体"/>
          <w:i w:val="0"/>
          <w:iCs/>
          <w:color w:val="auto"/>
          <w:sz w:val="28"/>
          <w:szCs w:val="28"/>
          <w:highlight w:val="none"/>
          <w:u w:val="none"/>
          <w:lang w:eastAsia="zh-CN"/>
        </w:rPr>
        <w:t>本</w:t>
      </w:r>
      <w:r>
        <w:rPr>
          <w:rFonts w:hint="eastAsia" w:ascii="宋体" w:hAnsi="宋体" w:eastAsia="宋体" w:cs="宋体"/>
          <w:i w:val="0"/>
          <w:iCs/>
          <w:color w:val="auto"/>
          <w:sz w:val="28"/>
          <w:szCs w:val="28"/>
          <w:highlight w:val="none"/>
          <w:u w:val="none"/>
        </w:rPr>
        <w:t>采购项目，</w:t>
      </w:r>
      <w:r>
        <w:rPr>
          <w:rFonts w:hint="eastAsia" w:ascii="宋体" w:hAnsi="宋体" w:eastAsia="宋体" w:cs="宋体"/>
          <w:i w:val="0"/>
          <w:iCs/>
          <w:color w:val="auto"/>
          <w:sz w:val="28"/>
          <w:szCs w:val="28"/>
          <w:highlight w:val="none"/>
          <w:u w:val="none"/>
          <w:lang w:eastAsia="zh-CN"/>
        </w:rPr>
        <w:t>无需</w:t>
      </w:r>
      <w:r>
        <w:rPr>
          <w:rFonts w:hint="eastAsia" w:ascii="宋体" w:hAnsi="宋体" w:eastAsia="宋体" w:cs="宋体"/>
          <w:i w:val="0"/>
          <w:iCs/>
          <w:color w:val="auto"/>
          <w:sz w:val="28"/>
          <w:szCs w:val="28"/>
          <w:highlight w:val="none"/>
          <w:u w:val="none"/>
        </w:rPr>
        <w:t>开展需求调查</w:t>
      </w:r>
      <w:r>
        <w:rPr>
          <w:rFonts w:hint="eastAsia" w:ascii="宋体" w:hAnsi="宋体" w:eastAsia="宋体" w:cs="宋体"/>
          <w:i w:val="0"/>
          <w:iCs/>
          <w:color w:val="auto"/>
          <w:sz w:val="28"/>
          <w:szCs w:val="28"/>
          <w:highlight w:val="none"/>
          <w:u w:val="none"/>
          <w:lang w:eastAsia="zh-CN"/>
        </w:rPr>
        <w:t>。</w:t>
      </w:r>
    </w:p>
    <w:p>
      <w:pPr>
        <w:spacing w:line="560" w:lineRule="exact"/>
        <w:ind w:firstLine="560" w:firstLineChars="200"/>
        <w:jc w:val="left"/>
        <w:rPr>
          <w:rFonts w:hint="eastAsia" w:ascii="宋体" w:hAnsi="宋体" w:eastAsia="宋体" w:cs="宋体"/>
          <w:b/>
          <w:bCs/>
          <w:i/>
          <w:color w:val="auto"/>
          <w:sz w:val="28"/>
          <w:szCs w:val="28"/>
          <w:highlight w:val="none"/>
          <w:u w:val="single"/>
        </w:rPr>
      </w:pP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、需求清单</w:t>
      </w:r>
    </w:p>
    <w:p>
      <w:pPr>
        <w:spacing w:line="56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（一）项目概况</w:t>
      </w:r>
    </w:p>
    <w:p>
      <w:pPr>
        <w:keepNext w:val="0"/>
        <w:keepLines w:val="0"/>
        <w:pageBreakBefore w:val="0"/>
        <w:widowControl w:val="0"/>
        <w:kinsoku/>
        <w:wordWrap/>
        <w:overflowPunct/>
        <w:topLinePunct w:val="0"/>
        <w:autoSpaceDE/>
        <w:autoSpaceDN/>
        <w:bidi w:val="0"/>
        <w:adjustRightInd/>
        <w:snapToGrid w:val="0"/>
        <w:spacing w:line="360" w:lineRule="auto"/>
        <w:ind w:firstLine="632" w:firstLineChars="226"/>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1</w:t>
      </w:r>
      <w:r>
        <w:rPr>
          <w:rFonts w:hint="eastAsia" w:ascii="宋体" w:hAnsi="宋体"/>
          <w:color w:val="000000"/>
          <w:sz w:val="28"/>
          <w:szCs w:val="28"/>
          <w:highlight w:val="none"/>
          <w:lang w:val="en-US" w:eastAsia="zh-CN"/>
        </w:rPr>
        <w:t>.</w:t>
      </w:r>
      <w:r>
        <w:rPr>
          <w:rFonts w:hint="eastAsia" w:ascii="宋体" w:hAnsi="宋体"/>
          <w:color w:val="000000"/>
          <w:sz w:val="28"/>
          <w:szCs w:val="28"/>
          <w:highlight w:val="none"/>
        </w:rPr>
        <w:t>项目名称：南方医科大学第七附属医院中层干部</w:t>
      </w:r>
      <w:r>
        <w:rPr>
          <w:rFonts w:hint="eastAsia" w:ascii="宋体" w:hAnsi="宋体"/>
          <w:color w:val="000000"/>
          <w:sz w:val="28"/>
          <w:szCs w:val="28"/>
          <w:highlight w:val="none"/>
          <w:lang w:eastAsia="zh-CN"/>
        </w:rPr>
        <w:t>、人才</w:t>
      </w:r>
      <w:r>
        <w:rPr>
          <w:rFonts w:hint="eastAsia" w:ascii="宋体" w:hAnsi="宋体"/>
          <w:color w:val="000000"/>
          <w:sz w:val="28"/>
          <w:szCs w:val="28"/>
          <w:highlight w:val="none"/>
        </w:rPr>
        <w:t>及干事考评项目</w:t>
      </w:r>
    </w:p>
    <w:p>
      <w:pPr>
        <w:keepNext w:val="0"/>
        <w:keepLines w:val="0"/>
        <w:pageBreakBefore w:val="0"/>
        <w:widowControl w:val="0"/>
        <w:kinsoku/>
        <w:wordWrap/>
        <w:overflowPunct/>
        <w:topLinePunct w:val="0"/>
        <w:autoSpaceDE/>
        <w:autoSpaceDN/>
        <w:bidi w:val="0"/>
        <w:adjustRightInd/>
        <w:snapToGrid w:val="0"/>
        <w:spacing w:line="360" w:lineRule="auto"/>
        <w:ind w:firstLine="632" w:firstLineChars="226"/>
        <w:jc w:val="left"/>
        <w:textAlignment w:val="auto"/>
        <w:rPr>
          <w:rFonts w:hint="eastAsia" w:ascii="宋体" w:hAnsi="宋体"/>
          <w:color w:val="000000"/>
          <w:sz w:val="28"/>
          <w:szCs w:val="28"/>
          <w:highlight w:val="none"/>
          <w:lang w:val="en-US" w:eastAsia="zh-CN"/>
        </w:rPr>
      </w:pPr>
      <w:r>
        <w:rPr>
          <w:rFonts w:hint="eastAsia" w:ascii="宋体" w:hAnsi="宋体"/>
          <w:color w:val="000000"/>
          <w:sz w:val="28"/>
          <w:szCs w:val="28"/>
          <w:highlight w:val="none"/>
        </w:rPr>
        <w:t>2</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项目地点：南方医科大学</w:t>
      </w:r>
      <w:r>
        <w:rPr>
          <w:rFonts w:hint="eastAsia" w:ascii="宋体" w:hAnsi="宋体"/>
          <w:color w:val="000000"/>
          <w:sz w:val="28"/>
          <w:szCs w:val="28"/>
          <w:highlight w:val="none"/>
          <w:lang w:val="en-US" w:eastAsia="zh-CN"/>
        </w:rPr>
        <w:t>第七附属医院</w:t>
      </w:r>
    </w:p>
    <w:p>
      <w:pPr>
        <w:keepNext w:val="0"/>
        <w:keepLines w:val="0"/>
        <w:pageBreakBefore w:val="0"/>
        <w:widowControl w:val="0"/>
        <w:kinsoku/>
        <w:wordWrap/>
        <w:overflowPunct/>
        <w:topLinePunct w:val="0"/>
        <w:autoSpaceDE/>
        <w:autoSpaceDN/>
        <w:bidi w:val="0"/>
        <w:adjustRightInd/>
        <w:snapToGrid w:val="0"/>
        <w:spacing w:line="360" w:lineRule="auto"/>
        <w:ind w:firstLine="632" w:firstLineChars="226"/>
        <w:jc w:val="left"/>
        <w:textAlignment w:val="auto"/>
        <w:rPr>
          <w:rFonts w:hint="eastAsia" w:ascii="宋体" w:hAnsi="宋体"/>
          <w:color w:val="000000"/>
          <w:sz w:val="28"/>
          <w:szCs w:val="28"/>
          <w:highlight w:val="none"/>
        </w:rPr>
      </w:pPr>
      <w:r>
        <w:rPr>
          <w:rFonts w:hint="eastAsia" w:ascii="宋体" w:hAnsi="宋体"/>
          <w:color w:val="000000"/>
          <w:sz w:val="28"/>
          <w:szCs w:val="28"/>
          <w:highlight w:val="none"/>
        </w:rPr>
        <w:t>3</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服务项目背景：</w:t>
      </w:r>
    </w:p>
    <w:p>
      <w:pPr>
        <w:snapToGri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highlight w:val="none"/>
        </w:rPr>
        <w:t>南方医科大学第七附属医院中层干部、人才及干事考评</w:t>
      </w:r>
      <w:r>
        <w:rPr>
          <w:rFonts w:hint="eastAsia" w:ascii="宋体" w:hAnsi="宋体"/>
          <w:color w:val="000000"/>
          <w:sz w:val="28"/>
          <w:szCs w:val="28"/>
          <w:highlight w:val="none"/>
          <w:rtl w:val="0"/>
          <w:lang w:val="en-US" w:eastAsia="zh-CN"/>
        </w:rPr>
        <w:t>服务项目</w:t>
      </w:r>
      <w:r>
        <w:rPr>
          <w:rFonts w:hint="eastAsia" w:ascii="宋体" w:hAnsi="宋体"/>
          <w:color w:val="000000"/>
          <w:sz w:val="28"/>
          <w:szCs w:val="28"/>
          <w:highlight w:val="none"/>
          <w:lang w:val="en-US" w:eastAsia="zh-CN"/>
        </w:rPr>
        <w:t>是指</w:t>
      </w:r>
      <w:r>
        <w:rPr>
          <w:rFonts w:hint="eastAsia" w:ascii="宋体" w:hAnsi="宋体"/>
          <w:color w:val="000000"/>
          <w:sz w:val="28"/>
          <w:szCs w:val="28"/>
          <w:highlight w:val="none"/>
        </w:rPr>
        <w:t>根据设定的</w:t>
      </w:r>
      <w:r>
        <w:rPr>
          <w:rFonts w:hint="eastAsia" w:ascii="宋体" w:hAnsi="宋体"/>
          <w:color w:val="000000"/>
          <w:sz w:val="28"/>
          <w:szCs w:val="28"/>
          <w:highlight w:val="none"/>
          <w:lang w:val="en-US" w:eastAsia="zh-CN"/>
        </w:rPr>
        <w:t>工作</w:t>
      </w:r>
      <w:r>
        <w:rPr>
          <w:rFonts w:hint="eastAsia" w:ascii="宋体" w:hAnsi="宋体"/>
          <w:color w:val="000000"/>
          <w:sz w:val="28"/>
          <w:szCs w:val="28"/>
          <w:highlight w:val="none"/>
        </w:rPr>
        <w:t>目标</w:t>
      </w:r>
      <w:r>
        <w:rPr>
          <w:rFonts w:hint="eastAsia" w:ascii="宋体" w:hAnsi="宋体"/>
          <w:color w:val="000000"/>
          <w:sz w:val="28"/>
          <w:szCs w:val="28"/>
          <w:highlight w:val="none"/>
          <w:lang w:val="en-US" w:eastAsia="zh-CN"/>
        </w:rPr>
        <w:t>和岗位职责</w:t>
      </w:r>
      <w:r>
        <w:rPr>
          <w:rFonts w:hint="eastAsia" w:ascii="宋体" w:hAnsi="宋体"/>
          <w:color w:val="000000"/>
          <w:sz w:val="28"/>
          <w:szCs w:val="28"/>
          <w:highlight w:val="none"/>
        </w:rPr>
        <w:t>，运用科学、合理的评价指标、评价标准和评价方法，对</w:t>
      </w:r>
      <w:r>
        <w:rPr>
          <w:rFonts w:hint="eastAsia" w:ascii="宋体" w:hAnsi="宋体"/>
          <w:color w:val="000000"/>
          <w:sz w:val="28"/>
          <w:szCs w:val="28"/>
          <w:highlight w:val="none"/>
          <w:lang w:val="en-US" w:eastAsia="zh-CN"/>
        </w:rPr>
        <w:t>采购人在2023年度各</w:t>
      </w:r>
      <w:r>
        <w:rPr>
          <w:rFonts w:hint="eastAsia" w:ascii="宋体" w:hAnsi="宋体"/>
          <w:color w:val="000000"/>
          <w:sz w:val="28"/>
          <w:szCs w:val="28"/>
          <w:highlight w:val="none"/>
        </w:rPr>
        <w:t>中层干部</w:t>
      </w:r>
      <w:r>
        <w:rPr>
          <w:rFonts w:hint="eastAsia" w:ascii="宋体" w:hAnsi="宋体"/>
          <w:color w:val="000000"/>
          <w:sz w:val="28"/>
          <w:szCs w:val="28"/>
          <w:highlight w:val="none"/>
          <w:lang w:eastAsia="zh-CN"/>
        </w:rPr>
        <w:t>、人才</w:t>
      </w:r>
      <w:r>
        <w:rPr>
          <w:rFonts w:hint="eastAsia" w:ascii="宋体" w:hAnsi="宋体"/>
          <w:color w:val="000000"/>
          <w:sz w:val="28"/>
          <w:szCs w:val="28"/>
          <w:highlight w:val="none"/>
        </w:rPr>
        <w:t>及干事</w:t>
      </w:r>
      <w:r>
        <w:rPr>
          <w:rFonts w:hint="eastAsia" w:ascii="宋体" w:hAnsi="宋体"/>
          <w:color w:val="000000"/>
          <w:sz w:val="28"/>
          <w:szCs w:val="28"/>
          <w:highlight w:val="none"/>
          <w:lang w:val="en-US" w:eastAsia="zh-CN"/>
        </w:rPr>
        <w:t>开展客观、公正的第三方考评工作。开展第三方评价可以</w:t>
      </w:r>
      <w:r>
        <w:rPr>
          <w:rFonts w:hint="eastAsia" w:ascii="宋体" w:hAnsi="宋体"/>
          <w:color w:val="000000"/>
          <w:sz w:val="28"/>
          <w:szCs w:val="28"/>
          <w:highlight w:val="none"/>
        </w:rPr>
        <w:t>最大限度避免</w:t>
      </w:r>
      <w:r>
        <w:rPr>
          <w:rFonts w:hint="eastAsia" w:ascii="宋体" w:hAnsi="宋体"/>
          <w:color w:val="000000"/>
          <w:sz w:val="28"/>
          <w:szCs w:val="28"/>
          <w:highlight w:val="none"/>
          <w:lang w:val="en-US" w:eastAsia="zh-CN"/>
        </w:rPr>
        <w:t>考评工作</w:t>
      </w:r>
      <w:r>
        <w:rPr>
          <w:rFonts w:hint="eastAsia" w:ascii="宋体" w:hAnsi="宋体"/>
          <w:color w:val="000000"/>
          <w:sz w:val="28"/>
          <w:szCs w:val="28"/>
          <w:highlight w:val="none"/>
        </w:rPr>
        <w:t>中的人情分，有利于取得单位上下的配合和理解，加强内部良性循环，减少内部矛盾，增强内部合作能力，促进</w:t>
      </w:r>
      <w:r>
        <w:rPr>
          <w:rFonts w:hint="eastAsia" w:ascii="宋体" w:hAnsi="宋体"/>
          <w:color w:val="000000"/>
          <w:sz w:val="28"/>
          <w:szCs w:val="28"/>
          <w:highlight w:val="none"/>
          <w:lang w:val="en-US" w:eastAsia="zh-CN"/>
        </w:rPr>
        <w:t>采购人的</w:t>
      </w:r>
      <w:r>
        <w:rPr>
          <w:rFonts w:hint="eastAsia" w:ascii="宋体" w:hAnsi="宋体"/>
          <w:color w:val="000000"/>
          <w:sz w:val="28"/>
          <w:szCs w:val="28"/>
          <w:highlight w:val="none"/>
        </w:rPr>
        <w:t>中层干部</w:t>
      </w:r>
      <w:r>
        <w:rPr>
          <w:rFonts w:hint="eastAsia" w:ascii="宋体" w:hAnsi="宋体"/>
          <w:color w:val="000000"/>
          <w:sz w:val="28"/>
          <w:szCs w:val="28"/>
          <w:highlight w:val="none"/>
          <w:lang w:eastAsia="zh-CN"/>
        </w:rPr>
        <w:t>、人才</w:t>
      </w:r>
      <w:r>
        <w:rPr>
          <w:rFonts w:hint="eastAsia" w:ascii="宋体" w:hAnsi="宋体"/>
          <w:color w:val="000000"/>
          <w:sz w:val="28"/>
          <w:szCs w:val="28"/>
          <w:highlight w:val="none"/>
        </w:rPr>
        <w:t>及干事</w:t>
      </w:r>
      <w:r>
        <w:rPr>
          <w:rFonts w:hint="eastAsia" w:ascii="宋体" w:hAnsi="宋体"/>
          <w:color w:val="000000"/>
          <w:sz w:val="28"/>
          <w:szCs w:val="28"/>
          <w:highlight w:val="none"/>
          <w:lang w:val="en-US" w:eastAsia="zh-CN"/>
        </w:rPr>
        <w:t>持续提高工作业绩，也能</w:t>
      </w:r>
      <w:r>
        <w:rPr>
          <w:rFonts w:hint="eastAsia" w:ascii="宋体" w:hAnsi="宋体"/>
          <w:color w:val="000000"/>
          <w:sz w:val="28"/>
          <w:szCs w:val="28"/>
          <w:highlight w:val="none"/>
        </w:rPr>
        <w:t>及时发现日常工作中的不足，更好地站在</w:t>
      </w:r>
      <w:r>
        <w:rPr>
          <w:rFonts w:hint="eastAsia" w:ascii="宋体" w:hAnsi="宋体"/>
          <w:color w:val="000000"/>
          <w:sz w:val="28"/>
          <w:szCs w:val="28"/>
          <w:highlight w:val="none"/>
          <w:lang w:val="en-US" w:eastAsia="zh-CN"/>
        </w:rPr>
        <w:t>服务对象</w:t>
      </w:r>
      <w:r>
        <w:rPr>
          <w:rFonts w:hint="eastAsia" w:ascii="宋体" w:hAnsi="宋体"/>
          <w:color w:val="000000"/>
          <w:sz w:val="28"/>
          <w:szCs w:val="28"/>
          <w:highlight w:val="none"/>
        </w:rPr>
        <w:t>的角度评价并改进自身服务</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从而</w:t>
      </w:r>
      <w:r>
        <w:rPr>
          <w:rFonts w:hint="eastAsia" w:ascii="宋体" w:hAnsi="宋体"/>
          <w:color w:val="000000"/>
          <w:sz w:val="28"/>
          <w:szCs w:val="28"/>
          <w:highlight w:val="none"/>
        </w:rPr>
        <w:t>全面提升</w:t>
      </w:r>
      <w:r>
        <w:rPr>
          <w:rFonts w:hint="eastAsia" w:ascii="宋体" w:hAnsi="宋体"/>
          <w:color w:val="000000"/>
          <w:sz w:val="28"/>
          <w:szCs w:val="28"/>
          <w:highlight w:val="none"/>
          <w:lang w:val="en-US" w:eastAsia="zh-CN"/>
        </w:rPr>
        <w:t>采购人的综合实力。</w:t>
      </w:r>
    </w:p>
    <w:p>
      <w:pPr>
        <w:snapToGrid w:val="0"/>
        <w:spacing w:line="360" w:lineRule="auto"/>
        <w:ind w:firstLine="560" w:firstLineChars="200"/>
        <w:jc w:val="left"/>
        <w:rPr>
          <w:rFonts w:hint="eastAsia" w:ascii="宋体" w:hAnsi="宋体" w:eastAsia="宋体"/>
          <w:color w:val="000000"/>
          <w:sz w:val="28"/>
          <w:szCs w:val="28"/>
          <w:highlight w:val="none"/>
          <w:lang w:eastAsia="zh-CN"/>
        </w:rPr>
      </w:pP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项目目标</w:t>
      </w:r>
      <w:r>
        <w:rPr>
          <w:rFonts w:hint="eastAsia" w:ascii="宋体" w:hAnsi="宋体"/>
          <w:color w:val="000000"/>
          <w:sz w:val="28"/>
          <w:szCs w:val="28"/>
          <w:highlight w:val="none"/>
          <w:lang w:eastAsia="zh-CN"/>
        </w:rPr>
        <w:t>：</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color w:val="000000"/>
          <w:sz w:val="28"/>
          <w:szCs w:val="28"/>
          <w:highlight w:val="none"/>
          <w:lang w:val="en-US" w:eastAsia="zh-CN"/>
        </w:rPr>
        <w:t>通过实地评价和数据统计及分析等方式开展考评工作，以保证评价结果的科学性、公正性、准确性、客观性，可真实评价采购人的</w:t>
      </w:r>
      <w:r>
        <w:rPr>
          <w:rFonts w:hint="eastAsia" w:ascii="宋体" w:hAnsi="宋体"/>
          <w:color w:val="000000"/>
          <w:sz w:val="28"/>
          <w:szCs w:val="28"/>
          <w:highlight w:val="none"/>
        </w:rPr>
        <w:t>中层干部、人才及干事</w:t>
      </w:r>
      <w:r>
        <w:rPr>
          <w:rFonts w:hint="eastAsia" w:ascii="宋体" w:hAnsi="宋体"/>
          <w:color w:val="000000"/>
          <w:sz w:val="28"/>
          <w:szCs w:val="28"/>
          <w:highlight w:val="none"/>
          <w:lang w:val="en-US" w:eastAsia="zh-CN"/>
        </w:rPr>
        <w:t>的工作表现，便于以评促改，增强采购人的</w:t>
      </w:r>
      <w:r>
        <w:rPr>
          <w:rFonts w:hint="eastAsia" w:ascii="宋体" w:hAnsi="宋体"/>
          <w:color w:val="000000"/>
          <w:sz w:val="28"/>
          <w:szCs w:val="28"/>
          <w:highlight w:val="none"/>
        </w:rPr>
        <w:t>中层干部</w:t>
      </w:r>
      <w:r>
        <w:rPr>
          <w:rFonts w:hint="eastAsia" w:ascii="宋体" w:hAnsi="宋体"/>
          <w:color w:val="000000"/>
          <w:sz w:val="28"/>
          <w:szCs w:val="28"/>
          <w:highlight w:val="none"/>
          <w:lang w:eastAsia="zh-CN"/>
        </w:rPr>
        <w:t>、人才</w:t>
      </w:r>
      <w:r>
        <w:rPr>
          <w:rFonts w:hint="eastAsia" w:ascii="宋体" w:hAnsi="宋体"/>
          <w:color w:val="000000"/>
          <w:sz w:val="28"/>
          <w:szCs w:val="28"/>
          <w:highlight w:val="none"/>
        </w:rPr>
        <w:t>及干事</w:t>
      </w:r>
      <w:r>
        <w:rPr>
          <w:rFonts w:hint="eastAsia" w:ascii="宋体" w:hAnsi="宋体"/>
          <w:color w:val="000000"/>
          <w:sz w:val="28"/>
          <w:szCs w:val="28"/>
          <w:highlight w:val="none"/>
          <w:lang w:val="en-US" w:eastAsia="zh-CN"/>
        </w:rPr>
        <w:t>的服务意识、责任意识和业绩意识。针对发现的问题点和短板，供应商将协助采购人将改进责任落实到每个人，确保有效开展改进工作，为进一步完善管理流程、完善精细化管理、提高工作绩效奠定基础。</w:t>
      </w:r>
    </w:p>
    <w:p>
      <w:pPr>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（二）采购标的汇总表</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623"/>
        <w:gridCol w:w="2127"/>
        <w:gridCol w:w="3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211"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项目内容</w:t>
            </w:r>
          </w:p>
        </w:tc>
        <w:tc>
          <w:tcPr>
            <w:tcW w:w="1623"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品目</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分类编码</w:t>
            </w:r>
          </w:p>
        </w:tc>
        <w:tc>
          <w:tcPr>
            <w:tcW w:w="212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采购预算</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color w:val="auto"/>
                <w:sz w:val="28"/>
                <w:szCs w:val="28"/>
                <w:highlight w:val="none"/>
                <w:lang w:val="en-US" w:eastAsia="zh-CN"/>
              </w:rPr>
            </w:pPr>
            <w:r>
              <w:rPr>
                <w:rFonts w:hint="eastAsia" w:ascii="宋体" w:hAnsi="宋体" w:cs="宋体"/>
                <w:b/>
                <w:bCs/>
                <w:color w:val="000000"/>
                <w:sz w:val="28"/>
                <w:szCs w:val="28"/>
                <w:highlight w:val="none"/>
              </w:rPr>
              <w:t>（人民币</w:t>
            </w:r>
            <w:r>
              <w:rPr>
                <w:rFonts w:hint="eastAsia" w:ascii="宋体" w:hAnsi="宋体" w:cs="宋体"/>
                <w:b/>
                <w:bCs/>
                <w:color w:val="000000"/>
                <w:sz w:val="28"/>
                <w:szCs w:val="28"/>
                <w:highlight w:val="none"/>
                <w:lang w:val="en-US" w:eastAsia="zh-CN"/>
              </w:rPr>
              <w:t>/</w:t>
            </w:r>
            <w:r>
              <w:rPr>
                <w:rFonts w:hint="eastAsia" w:ascii="宋体" w:hAnsi="宋体" w:cs="宋体"/>
                <w:b/>
                <w:bCs/>
                <w:color w:val="000000"/>
                <w:sz w:val="28"/>
                <w:szCs w:val="28"/>
                <w:highlight w:val="none"/>
              </w:rPr>
              <w:t>元）</w:t>
            </w:r>
          </w:p>
        </w:tc>
        <w:tc>
          <w:tcPr>
            <w:tcW w:w="3939"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21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olor w:val="000000"/>
                <w:sz w:val="28"/>
                <w:szCs w:val="28"/>
                <w:highlight w:val="none"/>
              </w:rPr>
            </w:pPr>
            <w:r>
              <w:rPr>
                <w:rFonts w:hint="eastAsia" w:ascii="宋体" w:hAnsi="宋体"/>
                <w:color w:val="000000"/>
                <w:sz w:val="28"/>
                <w:szCs w:val="28"/>
                <w:highlight w:val="none"/>
              </w:rPr>
              <w:t>南方医科大学</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color w:val="000000"/>
                <w:sz w:val="28"/>
                <w:szCs w:val="28"/>
                <w:highlight w:val="none"/>
              </w:rPr>
            </w:pPr>
            <w:r>
              <w:rPr>
                <w:rFonts w:hint="eastAsia" w:ascii="宋体" w:hAnsi="宋体"/>
                <w:color w:val="000000"/>
                <w:sz w:val="28"/>
                <w:szCs w:val="28"/>
                <w:highlight w:val="none"/>
              </w:rPr>
              <w:t>第七附属医院</w:t>
            </w:r>
          </w:p>
          <w:p>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color w:val="auto"/>
                <w:sz w:val="28"/>
                <w:szCs w:val="28"/>
                <w:highlight w:val="none"/>
                <w:lang w:val="en-US" w:eastAsia="zh-CN"/>
              </w:rPr>
            </w:pPr>
            <w:r>
              <w:rPr>
                <w:rFonts w:hint="eastAsia" w:ascii="宋体" w:hAnsi="宋体"/>
                <w:color w:val="000000"/>
                <w:sz w:val="28"/>
                <w:szCs w:val="28"/>
                <w:highlight w:val="none"/>
                <w:lang w:val="en-US" w:eastAsia="zh-CN"/>
              </w:rPr>
              <w:t>中层干部、人才及干事考评项目</w:t>
            </w:r>
          </w:p>
        </w:tc>
        <w:tc>
          <w:tcPr>
            <w:tcW w:w="16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宋体" w:hAnsi="宋体" w:eastAsia="FangSong_GB2312" w:cs="宋体"/>
                <w:color w:val="auto"/>
                <w:sz w:val="28"/>
                <w:szCs w:val="28"/>
                <w:highlight w:val="none"/>
                <w:lang w:val="en-US" w:eastAsia="zh-CN"/>
              </w:rPr>
            </w:pPr>
            <w:r>
              <w:rPr>
                <w:rFonts w:hint="eastAsia" w:ascii="宋体" w:hAnsi="宋体"/>
                <w:color w:val="000000"/>
                <w:sz w:val="28"/>
                <w:szCs w:val="28"/>
                <w:highlight w:val="none"/>
              </w:rPr>
              <w:t>C20031000</w:t>
            </w:r>
            <w:r>
              <w:rPr>
                <w:rFonts w:hint="eastAsia" w:ascii="宋体" w:hAnsi="宋体"/>
                <w:color w:val="000000"/>
                <w:sz w:val="28"/>
                <w:szCs w:val="28"/>
                <w:highlight w:val="none"/>
                <w:lang w:eastAsia="zh-CN"/>
              </w:rPr>
              <w:t>—</w:t>
            </w:r>
            <w:r>
              <w:rPr>
                <w:rFonts w:hint="eastAsia" w:ascii="宋体" w:hAnsi="宋体"/>
                <w:color w:val="000000"/>
                <w:sz w:val="28"/>
                <w:szCs w:val="28"/>
                <w:highlight w:val="none"/>
                <w:lang w:val="en-US" w:eastAsia="zh-CN"/>
              </w:rPr>
              <w:t>评价咨询服务</w:t>
            </w:r>
          </w:p>
        </w:tc>
        <w:tc>
          <w:tcPr>
            <w:tcW w:w="2127" w:type="dxa"/>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100,000.00</w:t>
            </w:r>
          </w:p>
        </w:tc>
        <w:tc>
          <w:tcPr>
            <w:tcW w:w="3939" w:type="dxa"/>
            <w:noWrap w:val="0"/>
            <w:vAlign w:val="center"/>
          </w:tcPr>
          <w:p>
            <w:pPr>
              <w:widowControl/>
              <w:adjustRightInd/>
              <w:snapToGrid/>
              <w:spacing w:line="360" w:lineRule="exact"/>
              <w:jc w:val="left"/>
              <w:rPr>
                <w:rFonts w:hint="eastAsia" w:ascii="宋体" w:hAnsi="宋体" w:eastAsia="宋体" w:cs="Times New Roman"/>
                <w:color w:val="000000"/>
                <w:sz w:val="28"/>
                <w:szCs w:val="28"/>
                <w:highlight w:val="none"/>
                <w:lang w:val="en-US" w:eastAsia="zh-CN"/>
              </w:rPr>
            </w:pPr>
            <w:r>
              <w:rPr>
                <w:rFonts w:hint="eastAsia" w:ascii="宋体" w:hAnsi="宋体"/>
                <w:color w:val="000000"/>
                <w:sz w:val="28"/>
                <w:szCs w:val="28"/>
                <w:highlight w:val="none"/>
                <w:lang w:val="en-US" w:eastAsia="zh-CN"/>
              </w:rPr>
              <w:t>自合同签订</w:t>
            </w:r>
            <w:r>
              <w:rPr>
                <w:rFonts w:hint="default" w:ascii="宋体" w:hAnsi="宋体"/>
                <w:color w:val="000000"/>
                <w:sz w:val="28"/>
                <w:szCs w:val="28"/>
                <w:highlight w:val="none"/>
                <w:lang w:val="en-US" w:eastAsia="zh-CN"/>
              </w:rPr>
              <w:t>后</w:t>
            </w:r>
            <w:r>
              <w:rPr>
                <w:rFonts w:hint="eastAsia" w:ascii="宋体" w:hAnsi="宋体"/>
                <w:color w:val="000000"/>
                <w:sz w:val="28"/>
                <w:szCs w:val="28"/>
                <w:highlight w:val="none"/>
                <w:lang w:val="en-US" w:eastAsia="zh-CN"/>
              </w:rPr>
              <w:t>至2024年</w:t>
            </w:r>
            <w:r>
              <w:rPr>
                <w:rFonts w:hint="default" w:ascii="宋体" w:hAnsi="宋体"/>
                <w:color w:val="000000"/>
                <w:sz w:val="28"/>
                <w:szCs w:val="28"/>
                <w:highlight w:val="none"/>
                <w:lang w:val="en-US" w:eastAsia="zh-CN"/>
              </w:rPr>
              <w:t>第一季度结束</w:t>
            </w:r>
            <w:r>
              <w:rPr>
                <w:rFonts w:hint="eastAsia" w:ascii="宋体" w:hAnsi="宋体"/>
                <w:color w:val="000000"/>
                <w:sz w:val="28"/>
                <w:szCs w:val="28"/>
                <w:highlight w:val="none"/>
                <w:lang w:val="en-US" w:eastAsia="zh-CN"/>
              </w:rPr>
              <w:t>。</w:t>
            </w:r>
          </w:p>
        </w:tc>
      </w:tr>
    </w:tbl>
    <w:p>
      <w:pPr>
        <w:spacing w:line="560" w:lineRule="exact"/>
        <w:ind w:firstLine="560" w:firstLineChars="200"/>
        <w:jc w:val="left"/>
        <w:rPr>
          <w:rFonts w:hint="eastAsia" w:ascii="宋体" w:hAnsi="宋体" w:eastAsia="宋体" w:cs="宋体"/>
          <w:b/>
          <w:bCs/>
          <w:color w:val="auto"/>
          <w:sz w:val="28"/>
          <w:szCs w:val="28"/>
          <w:highlight w:val="none"/>
          <w:lang w:eastAsia="zh-CN"/>
        </w:rPr>
      </w:pPr>
    </w:p>
    <w:p>
      <w:pPr>
        <w:spacing w:line="560" w:lineRule="exact"/>
        <w:ind w:firstLine="560" w:firstLineChars="200"/>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rPr>
        <w:t>技术商务要求</w:t>
      </w:r>
    </w:p>
    <w:p>
      <w:pPr>
        <w:spacing w:line="560" w:lineRule="exact"/>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（1）技术要求</w:t>
      </w:r>
    </w:p>
    <w:p>
      <w:pPr>
        <w:pStyle w:val="5"/>
        <w:widowControl w:val="0"/>
        <w:tabs>
          <w:tab w:val="left" w:pos="0"/>
        </w:tabs>
        <w:spacing w:line="360" w:lineRule="auto"/>
        <w:ind w:firstLine="560" w:firstLineChars="200"/>
        <w:jc w:val="both"/>
        <w:rPr>
          <w:rFonts w:hint="eastAsia" w:ascii="宋体" w:hAnsi="宋体" w:eastAsia="宋体" w:cs="宋体"/>
          <w:b/>
          <w:bCs/>
          <w:i w:val="0"/>
          <w:iCs/>
          <w:color w:val="auto"/>
          <w:kern w:val="2"/>
          <w:sz w:val="28"/>
          <w:szCs w:val="28"/>
          <w:highlight w:val="none"/>
          <w:u w:val="none"/>
          <w:lang w:val="en-US" w:eastAsia="zh-CN" w:bidi="ar-SA"/>
        </w:rPr>
      </w:pPr>
      <w:bookmarkStart w:id="0" w:name="_Toc415166266"/>
      <w:bookmarkStart w:id="1" w:name="_Toc153097942"/>
      <w:bookmarkStart w:id="2" w:name="_Toc187809569"/>
      <w:r>
        <w:rPr>
          <w:rFonts w:hint="eastAsia" w:ascii="宋体" w:hAnsi="宋体" w:eastAsia="宋体" w:cs="宋体"/>
          <w:b/>
          <w:bCs/>
          <w:i w:val="0"/>
          <w:iCs/>
          <w:color w:val="auto"/>
          <w:kern w:val="2"/>
          <w:sz w:val="28"/>
          <w:szCs w:val="28"/>
          <w:highlight w:val="none"/>
          <w:u w:val="none"/>
          <w:lang w:val="en-US" w:eastAsia="zh-CN" w:bidi="ar-SA"/>
        </w:rPr>
        <w:t>1.服务内容</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（1）配合</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管理层设计制定考评工作方案。</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）与</w:t>
      </w:r>
      <w:r>
        <w:rPr>
          <w:rFonts w:hint="eastAsia" w:ascii="宋体" w:hAnsi="宋体" w:cs="宋体"/>
          <w:sz w:val="28"/>
          <w:szCs w:val="28"/>
          <w:highlight w:val="none"/>
          <w:lang w:val="en-US" w:eastAsia="zh-CN"/>
        </w:rPr>
        <w:t>采购人</w:t>
      </w:r>
      <w:r>
        <w:rPr>
          <w:rFonts w:hint="eastAsia" w:ascii="宋体" w:hAnsi="宋体"/>
          <w:color w:val="000000"/>
          <w:sz w:val="28"/>
          <w:szCs w:val="28"/>
          <w:highlight w:val="none"/>
        </w:rPr>
        <w:t>中层干部</w:t>
      </w:r>
      <w:r>
        <w:rPr>
          <w:rFonts w:hint="eastAsia" w:ascii="宋体" w:hAnsi="宋体"/>
          <w:color w:val="000000"/>
          <w:sz w:val="28"/>
          <w:szCs w:val="28"/>
          <w:highlight w:val="none"/>
          <w:lang w:eastAsia="zh-CN"/>
        </w:rPr>
        <w:t>、人才</w:t>
      </w:r>
      <w:r>
        <w:rPr>
          <w:rFonts w:hint="eastAsia" w:ascii="宋体" w:hAnsi="宋体"/>
          <w:color w:val="000000"/>
          <w:sz w:val="28"/>
          <w:szCs w:val="28"/>
          <w:highlight w:val="none"/>
        </w:rPr>
        <w:t>及干事</w:t>
      </w:r>
      <w:r>
        <w:rPr>
          <w:rFonts w:hint="eastAsia" w:ascii="宋体" w:hAnsi="宋体" w:eastAsia="宋体" w:cs="宋体"/>
          <w:sz w:val="28"/>
          <w:szCs w:val="28"/>
          <w:highlight w:val="none"/>
          <w:lang w:val="en-US" w:eastAsia="zh-CN"/>
        </w:rPr>
        <w:t>代表进行充分沟通后设计制定具有贴合性、科学性、客观性、可执行性的评价指标，指标中的评价内容、规则、方法、评分标准、统计方式等相关细则应完善明晰，并最终在</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管理层确认后组织开展考评工作。</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）组织评价与实施。</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）统计、核实评价结果，出具评价报告。</w:t>
      </w:r>
    </w:p>
    <w:p>
      <w:pPr>
        <w:pStyle w:val="5"/>
        <w:widowControl w:val="0"/>
        <w:tabs>
          <w:tab w:val="left" w:pos="0"/>
        </w:tabs>
        <w:spacing w:line="360" w:lineRule="auto"/>
        <w:ind w:firstLine="560" w:firstLineChars="200"/>
        <w:jc w:val="both"/>
        <w:rPr>
          <w:rFonts w:hint="eastAsia" w:ascii="宋体" w:hAnsi="宋体" w:eastAsia="宋体" w:cs="宋体"/>
          <w:b/>
          <w:bCs/>
          <w:i w:val="0"/>
          <w:iCs/>
          <w:color w:val="auto"/>
          <w:kern w:val="2"/>
          <w:sz w:val="28"/>
          <w:szCs w:val="28"/>
          <w:highlight w:val="none"/>
          <w:u w:val="none"/>
          <w:lang w:val="en-US" w:eastAsia="zh-CN" w:bidi="ar-SA"/>
        </w:rPr>
      </w:pPr>
      <w:r>
        <w:rPr>
          <w:rFonts w:hint="eastAsia" w:ascii="宋体" w:hAnsi="宋体" w:eastAsia="宋体" w:cs="宋体"/>
          <w:b/>
          <w:bCs/>
          <w:i w:val="0"/>
          <w:iCs/>
          <w:color w:val="auto"/>
          <w:kern w:val="2"/>
          <w:sz w:val="28"/>
          <w:szCs w:val="28"/>
          <w:highlight w:val="none"/>
          <w:u w:val="none"/>
          <w:lang w:val="en-US" w:eastAsia="zh-CN" w:bidi="ar-SA"/>
        </w:rPr>
        <w:t>2.服务要求</w:t>
      </w:r>
      <w:bookmarkEnd w:id="0"/>
      <w:bookmarkEnd w:id="1"/>
      <w:bookmarkEnd w:id="2"/>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（1）主要依据</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以国家相关部门发布的《关于加强三级公立医院绩效考核工作的意见》（国办发〔2019〕4号）、《三级医院评审标准（2022年版）》（国卫医政发〔2022〕31号）以及</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发布的医院发展、岗位要求、目标责任状和聘用合同等有关材料，独立开展</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考评工作项目。</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2</w:t>
      </w:r>
      <w:r>
        <w:rPr>
          <w:rFonts w:hint="eastAsia" w:ascii="宋体" w:hAnsi="宋体" w:eastAsia="宋体" w:cs="宋体"/>
          <w:sz w:val="28"/>
          <w:szCs w:val="28"/>
          <w:highlight w:val="none"/>
          <w:lang w:val="en-US" w:eastAsia="zh-CN"/>
        </w:rPr>
        <w:t>）评价对象</w:t>
      </w:r>
    </w:p>
    <w:p>
      <w:pPr>
        <w:tabs>
          <w:tab w:val="left" w:pos="1080"/>
        </w:tabs>
        <w:spacing w:line="36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南方医科大学第七附属医院</w:t>
      </w:r>
      <w:r>
        <w:rPr>
          <w:rFonts w:hint="eastAsia" w:ascii="宋体" w:hAnsi="宋体" w:cs="宋体"/>
          <w:kern w:val="2"/>
          <w:sz w:val="28"/>
          <w:szCs w:val="28"/>
          <w:highlight w:val="none"/>
          <w:lang w:val="en-US" w:eastAsia="zh-CN" w:bidi="ar-SA"/>
        </w:rPr>
        <w:t>高层次人才、管理职能部门中层干部及干事</w:t>
      </w:r>
      <w:r>
        <w:rPr>
          <w:rFonts w:hint="eastAsia" w:ascii="宋体" w:hAnsi="宋体" w:eastAsia="宋体" w:cs="宋体"/>
          <w:kern w:val="2"/>
          <w:sz w:val="28"/>
          <w:szCs w:val="28"/>
          <w:highlight w:val="none"/>
          <w:lang w:val="en-US" w:eastAsia="zh-CN" w:bidi="ar-SA"/>
        </w:rPr>
        <w:t>。</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lang w:val="en-US" w:eastAsia="zh-CN"/>
        </w:rPr>
        <w:t>）开展周期</w:t>
      </w:r>
    </w:p>
    <w:p>
      <w:pPr>
        <w:pStyle w:val="3"/>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在2024年1月完成一轮考评</w:t>
      </w:r>
      <w:r>
        <w:rPr>
          <w:rFonts w:hint="eastAsia" w:ascii="宋体" w:hAnsi="宋体" w:cs="宋体"/>
          <w:kern w:val="2"/>
          <w:sz w:val="28"/>
          <w:szCs w:val="28"/>
          <w:highlight w:val="none"/>
          <w:lang w:val="en-US" w:eastAsia="zh-CN" w:bidi="ar-SA"/>
        </w:rPr>
        <w:t>，在2024年第一季度内出具考评报告</w:t>
      </w:r>
      <w:r>
        <w:rPr>
          <w:rFonts w:hint="eastAsia" w:ascii="宋体" w:hAnsi="宋体" w:eastAsia="宋体" w:cs="宋体"/>
          <w:kern w:val="2"/>
          <w:sz w:val="28"/>
          <w:szCs w:val="28"/>
          <w:highlight w:val="none"/>
          <w:lang w:val="en-US" w:eastAsia="zh-CN" w:bidi="ar-SA"/>
        </w:rPr>
        <w:t>。</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w:t>
      </w:r>
      <w:r>
        <w:rPr>
          <w:rFonts w:hint="eastAsia" w:ascii="宋体" w:hAnsi="宋体" w:cs="宋体"/>
          <w:sz w:val="28"/>
          <w:szCs w:val="28"/>
          <w:highlight w:val="none"/>
          <w:lang w:val="en-US" w:eastAsia="zh-CN"/>
        </w:rPr>
        <w:t>4</w:t>
      </w:r>
      <w:r>
        <w:rPr>
          <w:rFonts w:hint="eastAsia" w:ascii="宋体" w:hAnsi="宋体" w:eastAsia="宋体" w:cs="宋体"/>
          <w:sz w:val="28"/>
          <w:szCs w:val="28"/>
          <w:highlight w:val="none"/>
          <w:lang w:val="en-US" w:eastAsia="zh-CN"/>
        </w:rPr>
        <w:t>）主要工作程序</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本项目工作程序主要包括前期准备、组织实施、分析评价、撰写与提交评价报告、考核结果应用等五个阶段。</w:t>
      </w:r>
    </w:p>
    <w:p>
      <w:pPr>
        <w:pStyle w:val="3"/>
        <w:numPr>
          <w:ilvl w:val="0"/>
          <w:numId w:val="0"/>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2"/>
          <w:sz w:val="28"/>
          <w:szCs w:val="28"/>
          <w:highlight w:val="none"/>
          <w:lang w:val="en-US" w:eastAsia="zh-CN" w:bidi="ar-SA"/>
        </w:rPr>
        <w:t>①</w:t>
      </w:r>
      <w:r>
        <w:rPr>
          <w:rFonts w:hint="eastAsia" w:ascii="宋体" w:hAnsi="宋体" w:eastAsia="宋体" w:cs="宋体"/>
          <w:sz w:val="28"/>
          <w:szCs w:val="28"/>
          <w:highlight w:val="none"/>
          <w:lang w:val="en-US" w:eastAsia="zh-CN"/>
        </w:rPr>
        <w:t>前期准备。包括制定评价实施方案；确定评价依据，设立评价方法，完善评价指标体系。</w:t>
      </w:r>
    </w:p>
    <w:p>
      <w:pPr>
        <w:pStyle w:val="3"/>
        <w:numPr>
          <w:ilvl w:val="0"/>
          <w:numId w:val="1"/>
        </w:numPr>
        <w:ind w:left="454" w:leftChars="0" w:hanging="51"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制定评价实施方案。</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在调研、了解</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的基本情况的基础上，按照有关规定拟订评价实施方案，并报</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管理层审核。实施方案应包括工作进度及时间安排、评价依据、评价工作程序、评价工作人员、评价方法、评价指标体系、实施步骤、评价质量控制措施及工作纪律等内容。最后提交具体实施方案</w:t>
      </w:r>
      <w:r>
        <w:rPr>
          <w:rFonts w:hint="eastAsia" w:ascii="宋体" w:hAnsi="宋体" w:cs="宋体"/>
          <w:sz w:val="28"/>
          <w:szCs w:val="28"/>
          <w:highlight w:val="none"/>
          <w:lang w:val="en-US" w:eastAsia="zh-CN"/>
        </w:rPr>
        <w:t>给采购人</w:t>
      </w:r>
      <w:r>
        <w:rPr>
          <w:rFonts w:hint="eastAsia" w:ascii="宋体" w:hAnsi="宋体" w:eastAsia="宋体" w:cs="宋体"/>
          <w:sz w:val="28"/>
          <w:szCs w:val="28"/>
          <w:highlight w:val="none"/>
          <w:lang w:val="en-US" w:eastAsia="zh-CN"/>
        </w:rPr>
        <w:t>进行评审。</w:t>
      </w:r>
    </w:p>
    <w:p>
      <w:pPr>
        <w:pStyle w:val="3"/>
        <w:numPr>
          <w:ilvl w:val="0"/>
          <w:numId w:val="1"/>
        </w:numPr>
        <w:ind w:left="454" w:leftChars="0" w:hanging="51"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确定评价依据，设立评价方法、完善评价指标体系。</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评价指标体系是评价实施方案的核心。</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结合前期调研，根据项目目标和项目特点，参考其他医院的指标体系，就评价指标体系的合理性、可行性向</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提出进一步完善的意见建议，建立详细考核指标。</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本项目将考评工作指标划分为客观定量指标及主观定性指标，并根据评价依据对各指标赋予分值。</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客观定量指标：定量指标通过收集提取核心业务指标基础数据后，根据国家及广东省相关文件设置的计算公式计算得分，保持一致性。</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主观定性指标：定性指标的评价方法主要用于不可量化的评价及否决项评价。定性指标通过上级评价评分、服务对象满意度评价评分、现场核查等多种方式进行考评工作。</w:t>
      </w:r>
    </w:p>
    <w:p>
      <w:pPr>
        <w:pStyle w:val="3"/>
        <w:numPr>
          <w:ilvl w:val="0"/>
          <w:numId w:val="0"/>
        </w:numPr>
        <w:ind w:left="0" w:leftChars="0" w:firstLine="560" w:firstLineChars="200"/>
        <w:rPr>
          <w:rFonts w:hint="eastAsia" w:ascii="宋体" w:hAnsi="宋体" w:eastAsia="宋体" w:cs="宋体"/>
          <w:sz w:val="28"/>
          <w:szCs w:val="28"/>
          <w:highlight w:val="none"/>
          <w:lang w:val="en-US" w:eastAsia="zh-CN"/>
        </w:rPr>
      </w:pPr>
      <w:r>
        <w:rPr>
          <w:rFonts w:hint="eastAsia" w:ascii="宋体" w:hAnsi="宋体" w:cs="宋体"/>
          <w:kern w:val="2"/>
          <w:sz w:val="28"/>
          <w:szCs w:val="28"/>
          <w:highlight w:val="none"/>
          <w:lang w:val="en-US" w:eastAsia="zh-CN" w:bidi="ar-SA"/>
        </w:rPr>
        <w:t>②</w:t>
      </w:r>
      <w:r>
        <w:rPr>
          <w:rFonts w:hint="eastAsia" w:ascii="宋体" w:hAnsi="宋体" w:eastAsia="宋体" w:cs="宋体"/>
          <w:sz w:val="28"/>
          <w:szCs w:val="28"/>
          <w:highlight w:val="none"/>
          <w:lang w:val="en-US" w:eastAsia="zh-CN"/>
        </w:rPr>
        <w:t>组织实施</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采取现场和非现场评价相结合的方式实施评价。主要工作包括数据采集、核实确认、问卷调查等。</w:t>
      </w:r>
    </w:p>
    <w:p>
      <w:pPr>
        <w:pStyle w:val="3"/>
        <w:numPr>
          <w:ilvl w:val="0"/>
          <w:numId w:val="2"/>
        </w:numPr>
        <w:ind w:left="425" w:leftChars="0" w:hanging="22"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现场采集评价基础数据及相关资料。现场评价的范围和规模按评价工作总体要求确定。</w:t>
      </w:r>
    </w:p>
    <w:p>
      <w:pPr>
        <w:pStyle w:val="3"/>
        <w:numPr>
          <w:ilvl w:val="0"/>
          <w:numId w:val="2"/>
        </w:numPr>
        <w:ind w:left="425" w:leftChars="0" w:hanging="22"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核查核实评价所需要的基础数据和资料。</w:t>
      </w:r>
    </w:p>
    <w:p>
      <w:pPr>
        <w:pStyle w:val="3"/>
        <w:numPr>
          <w:ilvl w:val="0"/>
          <w:numId w:val="2"/>
        </w:numPr>
        <w:ind w:left="425" w:leftChars="0" w:hanging="22"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需要进行问卷调查的项目，提供问卷构建统计分析服务，</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内部调查对象由</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协助发放电子问卷进行二维码调查。</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③</w:t>
      </w:r>
      <w:r>
        <w:rPr>
          <w:rFonts w:hint="eastAsia" w:ascii="宋体" w:hAnsi="宋体" w:eastAsia="宋体" w:cs="宋体"/>
          <w:sz w:val="28"/>
          <w:szCs w:val="28"/>
          <w:highlight w:val="none"/>
          <w:lang w:val="en-US" w:eastAsia="zh-CN"/>
        </w:rPr>
        <w:t>分析评价</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 xml:space="preserve">对采集的数据资料进行复核汇总、分类整理和综合分析。按照设立的评价指标、标准、权重、方法实施评价，并形成评价结论。 </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④</w:t>
      </w:r>
      <w:r>
        <w:rPr>
          <w:rFonts w:hint="eastAsia" w:ascii="宋体" w:hAnsi="宋体" w:eastAsia="宋体" w:cs="宋体"/>
          <w:sz w:val="28"/>
          <w:szCs w:val="28"/>
          <w:highlight w:val="none"/>
          <w:lang w:val="en-US" w:eastAsia="zh-CN"/>
        </w:rPr>
        <w:t>撰写与提交评价报告。</w:t>
      </w:r>
    </w:p>
    <w:p>
      <w:pPr>
        <w:pStyle w:val="3"/>
        <w:numPr>
          <w:ilvl w:val="0"/>
          <w:numId w:val="3"/>
        </w:numPr>
        <w:ind w:left="454" w:leftChars="0" w:hanging="57"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撰写报告。</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按照规定要求和文本格式撰写评价报告。评价报告主要内容包括：</w:t>
      </w:r>
    </w:p>
    <w:p>
      <w:pPr>
        <w:pStyle w:val="3"/>
        <w:numPr>
          <w:ilvl w:val="0"/>
          <w:numId w:val="4"/>
        </w:numPr>
        <w:ind w:left="454" w:leftChars="0" w:firstLine="34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基本情况：包括项目概况、工作目标等。</w:t>
      </w:r>
    </w:p>
    <w:p>
      <w:pPr>
        <w:pStyle w:val="3"/>
        <w:numPr>
          <w:ilvl w:val="0"/>
          <w:numId w:val="4"/>
        </w:numPr>
        <w:ind w:left="454" w:leftChars="0" w:firstLine="34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评价工作：包括评价目的、依据、指标体系、工作过程等。</w:t>
      </w:r>
    </w:p>
    <w:p>
      <w:pPr>
        <w:pStyle w:val="3"/>
        <w:numPr>
          <w:ilvl w:val="0"/>
          <w:numId w:val="4"/>
        </w:numPr>
        <w:ind w:left="454" w:leftChars="0" w:firstLine="34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评价情况：得出评价结论。</w:t>
      </w:r>
    </w:p>
    <w:p>
      <w:pPr>
        <w:pStyle w:val="3"/>
        <w:numPr>
          <w:ilvl w:val="0"/>
          <w:numId w:val="4"/>
        </w:numPr>
        <w:ind w:left="454" w:leftChars="0" w:firstLine="34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意见建议：提出相应的改进建议。</w:t>
      </w:r>
    </w:p>
    <w:p>
      <w:pPr>
        <w:pStyle w:val="3"/>
        <w:numPr>
          <w:ilvl w:val="0"/>
          <w:numId w:val="4"/>
        </w:numPr>
        <w:ind w:left="454" w:leftChars="0" w:firstLine="340"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其他需要说明的问题。</w:t>
      </w:r>
    </w:p>
    <w:p>
      <w:pPr>
        <w:pStyle w:val="3"/>
        <w:numPr>
          <w:ilvl w:val="0"/>
          <w:numId w:val="3"/>
        </w:numPr>
        <w:ind w:left="454" w:leftChars="0" w:hanging="57" w:firstLineChars="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提交报告。</w:t>
      </w: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完成考评工作报告初稿</w:t>
      </w:r>
      <w:r>
        <w:rPr>
          <w:rFonts w:hint="eastAsia" w:ascii="宋体" w:hAnsi="宋体" w:cs="宋体"/>
          <w:sz w:val="28"/>
          <w:szCs w:val="28"/>
          <w:highlight w:val="none"/>
          <w:lang w:val="en-US" w:eastAsia="zh-CN"/>
        </w:rPr>
        <w:t>并提交采购人审核</w:t>
      </w:r>
      <w:r>
        <w:rPr>
          <w:rFonts w:hint="eastAsia" w:ascii="宋体" w:hAnsi="宋体" w:eastAsia="宋体" w:cs="宋体"/>
          <w:sz w:val="28"/>
          <w:szCs w:val="28"/>
          <w:highlight w:val="none"/>
          <w:lang w:val="en-US" w:eastAsia="zh-CN"/>
        </w:rPr>
        <w:t>。</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⑤</w:t>
      </w:r>
      <w:r>
        <w:rPr>
          <w:rFonts w:hint="eastAsia" w:ascii="宋体" w:hAnsi="宋体" w:eastAsia="宋体" w:cs="宋体"/>
          <w:sz w:val="28"/>
          <w:szCs w:val="28"/>
          <w:highlight w:val="none"/>
          <w:lang w:val="en-US" w:eastAsia="zh-CN"/>
        </w:rPr>
        <w:t>考核结果应用</w:t>
      </w:r>
    </w:p>
    <w:p>
      <w:pPr>
        <w:pStyle w:val="3"/>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供应商</w:t>
      </w:r>
      <w:r>
        <w:rPr>
          <w:rFonts w:hint="eastAsia" w:ascii="宋体" w:hAnsi="宋体" w:eastAsia="宋体" w:cs="宋体"/>
          <w:sz w:val="28"/>
          <w:szCs w:val="28"/>
          <w:highlight w:val="none"/>
          <w:lang w:val="en-US" w:eastAsia="zh-CN"/>
        </w:rPr>
        <w:t>按照考核最终标化得分对考核人员分岗位类型、划分四个档次等级，即：优秀、良好、及格、不及格，并提出相应的奖惩建议方案。</w:t>
      </w:r>
    </w:p>
    <w:p>
      <w:pPr>
        <w:pStyle w:val="5"/>
        <w:widowControl w:val="0"/>
        <w:numPr>
          <w:ilvl w:val="0"/>
          <w:numId w:val="0"/>
        </w:numPr>
        <w:tabs>
          <w:tab w:val="left" w:pos="0"/>
        </w:tabs>
        <w:spacing w:line="360" w:lineRule="auto"/>
        <w:ind w:firstLine="560" w:firstLineChars="200"/>
        <w:jc w:val="both"/>
        <w:rPr>
          <w:rFonts w:hint="eastAsia" w:ascii="宋体" w:hAnsi="宋体" w:eastAsia="宋体" w:cs="宋体"/>
          <w:b/>
          <w:bCs/>
          <w:i w:val="0"/>
          <w:iCs/>
          <w:color w:val="auto"/>
          <w:kern w:val="2"/>
          <w:sz w:val="28"/>
          <w:szCs w:val="28"/>
          <w:highlight w:val="none"/>
          <w:u w:val="none"/>
          <w:lang w:val="en-US" w:eastAsia="zh-CN" w:bidi="ar-SA"/>
        </w:rPr>
      </w:pPr>
      <w:r>
        <w:rPr>
          <w:rFonts w:hint="eastAsia" w:ascii="宋体" w:hAnsi="宋体" w:eastAsia="宋体" w:cs="宋体"/>
          <w:b/>
          <w:bCs/>
          <w:i w:val="0"/>
          <w:iCs/>
          <w:color w:val="auto"/>
          <w:kern w:val="2"/>
          <w:sz w:val="28"/>
          <w:szCs w:val="28"/>
          <w:highlight w:val="none"/>
          <w:u w:val="none"/>
          <w:lang w:val="en-US" w:eastAsia="zh-CN" w:bidi="ar-SA"/>
        </w:rPr>
        <w:t>3.人员、装备要求（人员配置、人员岗位要求、岗位职责等）</w:t>
      </w:r>
    </w:p>
    <w:p>
      <w:pPr>
        <w:pStyle w:val="3"/>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供应商组成的评价团队中</w:t>
      </w:r>
      <w:r>
        <w:rPr>
          <w:rFonts w:hint="eastAsia" w:ascii="宋体" w:hAnsi="宋体" w:cs="宋体"/>
          <w:sz w:val="28"/>
          <w:szCs w:val="28"/>
          <w:highlight w:val="none"/>
          <w:lang w:val="en-US" w:eastAsia="zh-CN"/>
        </w:rPr>
        <w:t>，团队负责人应具有医院管理实践经验和高级职称。</w:t>
      </w:r>
    </w:p>
    <w:p>
      <w:pPr>
        <w:pStyle w:val="5"/>
        <w:widowControl w:val="0"/>
        <w:tabs>
          <w:tab w:val="left" w:pos="0"/>
        </w:tabs>
        <w:spacing w:line="360" w:lineRule="auto"/>
        <w:ind w:firstLine="560" w:firstLineChars="200"/>
        <w:jc w:val="both"/>
      </w:pPr>
      <w:r>
        <w:rPr>
          <w:rFonts w:hint="eastAsia" w:ascii="宋体" w:hAnsi="宋体" w:cs="宋体"/>
          <w:b/>
          <w:bCs/>
          <w:i w:val="0"/>
          <w:iCs/>
          <w:color w:val="auto"/>
          <w:kern w:val="2"/>
          <w:sz w:val="28"/>
          <w:szCs w:val="28"/>
          <w:u w:val="none"/>
          <w:lang w:val="en-US" w:eastAsia="zh-CN" w:bidi="ar-SA"/>
        </w:rPr>
        <w:t>4</w:t>
      </w:r>
      <w:r>
        <w:rPr>
          <w:rFonts w:hint="eastAsia" w:ascii="宋体" w:hAnsi="宋体" w:eastAsia="宋体" w:cs="宋体"/>
          <w:b/>
          <w:bCs/>
          <w:i w:val="0"/>
          <w:iCs/>
          <w:color w:val="auto"/>
          <w:kern w:val="2"/>
          <w:sz w:val="28"/>
          <w:szCs w:val="28"/>
          <w:u w:val="none"/>
          <w:lang w:val="en-US" w:eastAsia="zh-CN" w:bidi="ar-SA"/>
        </w:rPr>
        <w:t>.服务质量考核与处罚</w:t>
      </w:r>
    </w:p>
    <w:p>
      <w:pPr>
        <w:numPr>
          <w:ilvl w:val="0"/>
          <w:numId w:val="0"/>
        </w:numPr>
        <w:spacing w:line="560" w:lineRule="exact"/>
        <w:ind w:left="0" w:leftChars="0"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（1）采购人安排考核组对供应商服务进行考核，具体人员由采购人工作人员组成。</w:t>
      </w:r>
    </w:p>
    <w:p>
      <w:pPr>
        <w:keepNext w:val="0"/>
        <w:keepLines w:val="0"/>
        <w:widowControl/>
        <w:numPr>
          <w:ilvl w:val="0"/>
          <w:numId w:val="0"/>
        </w:numPr>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w:t>
      </w:r>
      <w:r>
        <w:rPr>
          <w:rFonts w:hint="eastAsia" w:ascii="宋体" w:hAnsi="宋体" w:cs="宋体"/>
          <w:bCs/>
          <w:sz w:val="28"/>
          <w:szCs w:val="28"/>
          <w:highlight w:val="none"/>
          <w:lang w:val="en-US" w:eastAsia="zh-CN"/>
        </w:rPr>
        <w:t>考核组在</w:t>
      </w:r>
      <w:r>
        <w:rPr>
          <w:rFonts w:hint="eastAsia" w:ascii="宋体" w:hAnsi="宋体" w:eastAsia="宋体" w:cs="宋体"/>
          <w:color w:val="000000"/>
          <w:kern w:val="0"/>
          <w:sz w:val="28"/>
          <w:szCs w:val="28"/>
          <w:lang w:val="en-US" w:eastAsia="zh-CN" w:bidi="ar"/>
        </w:rPr>
        <w:t>项目结束后对服务人员及内容进行考核，满分为100分，</w:t>
      </w:r>
      <w:r>
        <w:rPr>
          <w:rFonts w:hint="eastAsia" w:ascii="宋体" w:hAnsi="宋体" w:cs="宋体"/>
          <w:color w:val="000000"/>
          <w:kern w:val="0"/>
          <w:sz w:val="28"/>
          <w:szCs w:val="28"/>
          <w:lang w:val="en-US" w:eastAsia="zh-CN" w:bidi="ar"/>
        </w:rPr>
        <w:t>90</w:t>
      </w:r>
      <w:r>
        <w:rPr>
          <w:rFonts w:hint="eastAsia" w:ascii="宋体" w:hAnsi="宋体" w:eastAsia="宋体" w:cs="宋体"/>
          <w:color w:val="000000"/>
          <w:kern w:val="0"/>
          <w:sz w:val="28"/>
          <w:szCs w:val="28"/>
          <w:lang w:val="en-US" w:eastAsia="zh-CN" w:bidi="ar"/>
        </w:rPr>
        <w:t>分（含）为合格</w:t>
      </w:r>
      <w:r>
        <w:rPr>
          <w:rFonts w:hint="eastAsia" w:ascii="宋体" w:hAnsi="宋体" w:cs="宋体"/>
          <w:color w:val="000000"/>
          <w:kern w:val="0"/>
          <w:sz w:val="28"/>
          <w:szCs w:val="28"/>
          <w:lang w:val="en-US" w:eastAsia="zh-CN" w:bidi="ar"/>
        </w:rPr>
        <w:t>。供应商</w:t>
      </w:r>
      <w:r>
        <w:rPr>
          <w:rFonts w:hint="eastAsia" w:ascii="宋体" w:hAnsi="宋体" w:eastAsia="宋体" w:cs="宋体"/>
          <w:color w:val="000000"/>
          <w:kern w:val="0"/>
          <w:sz w:val="28"/>
          <w:szCs w:val="28"/>
          <w:lang w:val="en-US" w:eastAsia="zh-CN" w:bidi="ar"/>
        </w:rPr>
        <w:t>服务期内考核得分低于</w:t>
      </w:r>
      <w:r>
        <w:rPr>
          <w:rFonts w:hint="eastAsia" w:ascii="宋体" w:hAnsi="宋体" w:cs="宋体"/>
          <w:color w:val="000000"/>
          <w:kern w:val="0"/>
          <w:sz w:val="28"/>
          <w:szCs w:val="28"/>
          <w:lang w:val="en-US" w:eastAsia="zh-CN" w:bidi="ar"/>
        </w:rPr>
        <w:t>9</w:t>
      </w:r>
      <w:r>
        <w:rPr>
          <w:rFonts w:hint="default" w:ascii="宋体" w:hAnsi="宋体" w:cs="宋体"/>
          <w:color w:val="000000"/>
          <w:kern w:val="0"/>
          <w:sz w:val="28"/>
          <w:szCs w:val="28"/>
          <w:lang w:val="en-US" w:eastAsia="zh-CN" w:bidi="ar"/>
        </w:rPr>
        <w:t>5</w:t>
      </w:r>
      <w:r>
        <w:rPr>
          <w:rFonts w:hint="eastAsia" w:ascii="宋体" w:hAnsi="宋体" w:cs="宋体"/>
          <w:color w:val="000000"/>
          <w:kern w:val="0"/>
          <w:sz w:val="28"/>
          <w:szCs w:val="28"/>
          <w:lang w:val="en-US" w:eastAsia="zh-CN" w:bidi="ar"/>
        </w:rPr>
        <w:t>分的，</w:t>
      </w:r>
      <w:r>
        <w:rPr>
          <w:rFonts w:hint="eastAsia" w:ascii="宋体" w:hAnsi="宋体" w:eastAsia="宋体" w:cs="宋体"/>
          <w:color w:val="000000"/>
          <w:kern w:val="0"/>
          <w:sz w:val="28"/>
          <w:szCs w:val="28"/>
          <w:lang w:val="en-US" w:eastAsia="zh-CN" w:bidi="ar"/>
        </w:rPr>
        <w:t>以</w:t>
      </w:r>
      <w:r>
        <w:rPr>
          <w:rFonts w:hint="eastAsia" w:ascii="宋体" w:hAnsi="宋体" w:cs="宋体"/>
          <w:color w:val="000000"/>
          <w:kern w:val="0"/>
          <w:sz w:val="28"/>
          <w:szCs w:val="28"/>
          <w:lang w:val="en-US" w:eastAsia="zh-CN" w:bidi="ar"/>
        </w:rPr>
        <w:t>95</w:t>
      </w:r>
      <w:r>
        <w:rPr>
          <w:rFonts w:hint="eastAsia" w:ascii="宋体" w:hAnsi="宋体" w:eastAsia="宋体" w:cs="宋体"/>
          <w:color w:val="000000"/>
          <w:kern w:val="0"/>
          <w:sz w:val="28"/>
          <w:szCs w:val="28"/>
          <w:lang w:val="en-US" w:eastAsia="zh-CN" w:bidi="ar"/>
        </w:rPr>
        <w:t>分为基础每减少1分，</w:t>
      </w:r>
      <w:r>
        <w:rPr>
          <w:rFonts w:hint="eastAsia" w:ascii="宋体" w:hAnsi="宋体" w:cs="宋体"/>
          <w:color w:val="000000"/>
          <w:kern w:val="0"/>
          <w:sz w:val="28"/>
          <w:szCs w:val="28"/>
          <w:lang w:val="en-US" w:eastAsia="zh-CN" w:bidi="ar"/>
        </w:rPr>
        <w:t>采购人有权在第二期服务费中</w:t>
      </w:r>
      <w:r>
        <w:rPr>
          <w:rFonts w:hint="eastAsia" w:ascii="宋体" w:hAnsi="宋体" w:eastAsia="宋体" w:cs="宋体"/>
          <w:color w:val="000000"/>
          <w:kern w:val="0"/>
          <w:sz w:val="28"/>
          <w:szCs w:val="28"/>
          <w:lang w:val="en-US" w:eastAsia="zh-CN" w:bidi="ar"/>
        </w:rPr>
        <w:t>扣减1000元</w:t>
      </w:r>
      <w:r>
        <w:rPr>
          <w:rFonts w:hint="eastAsia" w:ascii="宋体" w:hAnsi="宋体" w:cs="宋体"/>
          <w:color w:val="000000"/>
          <w:kern w:val="0"/>
          <w:sz w:val="28"/>
          <w:szCs w:val="28"/>
          <w:lang w:val="en-US" w:eastAsia="zh-CN" w:bidi="ar"/>
        </w:rPr>
        <w:t>；考核得分低于90</w:t>
      </w:r>
      <w:r>
        <w:rPr>
          <w:rFonts w:hint="eastAsia" w:ascii="宋体" w:hAnsi="宋体" w:eastAsia="宋体" w:cs="宋体"/>
          <w:color w:val="000000"/>
          <w:kern w:val="0"/>
          <w:sz w:val="28"/>
          <w:szCs w:val="28"/>
          <w:lang w:val="en-US" w:eastAsia="zh-CN" w:bidi="ar"/>
        </w:rPr>
        <w:t>分（不含），即视同</w:t>
      </w:r>
      <w:r>
        <w:rPr>
          <w:rFonts w:hint="eastAsia" w:ascii="宋体" w:hAnsi="宋体" w:cs="宋体"/>
          <w:color w:val="000000"/>
          <w:kern w:val="0"/>
          <w:sz w:val="28"/>
          <w:szCs w:val="28"/>
          <w:lang w:val="en-US" w:eastAsia="zh-CN" w:bidi="ar"/>
        </w:rPr>
        <w:t>供应商</w:t>
      </w:r>
      <w:r>
        <w:rPr>
          <w:rFonts w:hint="eastAsia" w:ascii="宋体" w:hAnsi="宋体" w:eastAsia="宋体" w:cs="宋体"/>
          <w:color w:val="000000"/>
          <w:kern w:val="0"/>
          <w:sz w:val="28"/>
          <w:szCs w:val="28"/>
          <w:lang w:val="en-US" w:eastAsia="zh-CN" w:bidi="ar"/>
        </w:rPr>
        <w:t>达不到服务标准</w:t>
      </w:r>
      <w:r>
        <w:rPr>
          <w:rFonts w:hint="eastAsia" w:ascii="宋体" w:hAnsi="宋体" w:cs="宋体"/>
          <w:color w:val="000000"/>
          <w:kern w:val="0"/>
          <w:sz w:val="28"/>
          <w:szCs w:val="28"/>
          <w:lang w:val="en-US" w:eastAsia="zh-CN" w:bidi="ar"/>
        </w:rPr>
        <w:t>，采购人有权单方面解除合同，供应商需退还第一期服务费，</w:t>
      </w:r>
      <w:r>
        <w:rPr>
          <w:rFonts w:hint="eastAsia" w:ascii="宋体" w:hAnsi="宋体" w:eastAsia="宋体" w:cs="宋体"/>
          <w:bCs/>
          <w:sz w:val="28"/>
          <w:szCs w:val="28"/>
          <w:highlight w:val="none"/>
        </w:rPr>
        <w:t>并且给</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造成损失的由</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承担一切赔偿责任及法律责任</w:t>
      </w:r>
      <w:r>
        <w:rPr>
          <w:rFonts w:hint="eastAsia" w:ascii="宋体" w:hAnsi="宋体" w:cs="宋体"/>
          <w:bCs/>
          <w:sz w:val="28"/>
          <w:szCs w:val="28"/>
          <w:highlight w:val="none"/>
          <w:lang w:eastAsia="zh-CN"/>
        </w:rPr>
        <w:t>。</w:t>
      </w:r>
      <w:bookmarkStart w:id="4" w:name="_GoBack"/>
      <w:bookmarkEnd w:id="4"/>
    </w:p>
    <w:p>
      <w:pPr>
        <w:widowControl/>
        <w:numPr>
          <w:ilvl w:val="0"/>
          <w:numId w:val="0"/>
        </w:numPr>
        <w:spacing w:line="240" w:lineRule="auto"/>
        <w:ind w:left="0" w:leftChars="0" w:firstLine="560" w:firstLineChars="200"/>
        <w:jc w:val="left"/>
        <w:rPr>
          <w:rFonts w:hint="default" w:ascii="宋体" w:hAnsi="宋体" w:cs="宋体"/>
          <w:bCs/>
          <w:sz w:val="28"/>
          <w:szCs w:val="28"/>
          <w:highlight w:val="none"/>
          <w:vertAlign w:val="baseline"/>
          <w:lang w:val="en-US" w:eastAsia="zh-CN"/>
        </w:rPr>
      </w:pPr>
      <w:r>
        <w:rPr>
          <w:rFonts w:hint="eastAsia" w:ascii="宋体" w:hAnsi="宋体" w:cs="宋体"/>
          <w:bCs/>
          <w:sz w:val="28"/>
          <w:szCs w:val="28"/>
          <w:highlight w:val="none"/>
          <w:lang w:val="en-US" w:eastAsia="zh-CN"/>
        </w:rPr>
        <w:t>（4）</w:t>
      </w:r>
      <w:r>
        <w:rPr>
          <w:rFonts w:hint="eastAsia" w:ascii="宋体" w:hAnsi="宋体" w:eastAsia="宋体" w:cs="宋体"/>
          <w:color w:val="000000"/>
          <w:kern w:val="0"/>
          <w:sz w:val="28"/>
          <w:szCs w:val="28"/>
          <w:lang w:val="en-US" w:eastAsia="zh-CN" w:bidi="ar"/>
        </w:rPr>
        <w:t>项目内容考核标准</w:t>
      </w:r>
      <w:r>
        <w:rPr>
          <w:rFonts w:hint="eastAsia" w:ascii="宋体" w:hAnsi="宋体" w:cs="宋体"/>
          <w:bCs/>
          <w:sz w:val="28"/>
          <w:szCs w:val="28"/>
          <w:highlight w:val="none"/>
          <w:lang w:val="en-US" w:eastAsia="zh-CN"/>
        </w:rPr>
        <w:t>：</w:t>
      </w:r>
    </w:p>
    <w:tbl>
      <w:tblPr>
        <w:tblStyle w:val="13"/>
        <w:tblW w:w="9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12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3" w:type="dxa"/>
          </w:tcPr>
          <w:p>
            <w:pPr>
              <w:numPr>
                <w:ilvl w:val="0"/>
                <w:numId w:val="0"/>
              </w:numPr>
              <w:spacing w:line="560" w:lineRule="exact"/>
              <w:jc w:val="center"/>
              <w:rPr>
                <w:rFonts w:hint="default" w:ascii="宋体" w:hAnsi="宋体" w:cs="宋体"/>
                <w:b/>
                <w:bCs w:val="0"/>
                <w:sz w:val="28"/>
                <w:szCs w:val="28"/>
                <w:highlight w:val="none"/>
                <w:vertAlign w:val="baseline"/>
                <w:lang w:val="en-US" w:eastAsia="zh-CN"/>
              </w:rPr>
            </w:pPr>
            <w:r>
              <w:rPr>
                <w:rFonts w:hint="eastAsia" w:ascii="宋体" w:hAnsi="宋体" w:cs="宋体"/>
                <w:b/>
                <w:bCs w:val="0"/>
                <w:sz w:val="28"/>
                <w:szCs w:val="28"/>
                <w:highlight w:val="none"/>
                <w:vertAlign w:val="baseline"/>
                <w:lang w:val="en-US" w:eastAsia="zh-CN"/>
              </w:rPr>
              <w:t>序号</w:t>
            </w:r>
          </w:p>
        </w:tc>
        <w:tc>
          <w:tcPr>
            <w:tcW w:w="7125" w:type="dxa"/>
          </w:tcPr>
          <w:p>
            <w:pPr>
              <w:numPr>
                <w:ilvl w:val="0"/>
                <w:numId w:val="0"/>
              </w:numPr>
              <w:spacing w:line="560" w:lineRule="exact"/>
              <w:jc w:val="center"/>
              <w:rPr>
                <w:rFonts w:hint="default" w:ascii="宋体" w:hAnsi="宋体" w:cs="宋体"/>
                <w:b/>
                <w:bCs w:val="0"/>
                <w:sz w:val="28"/>
                <w:szCs w:val="28"/>
                <w:highlight w:val="none"/>
                <w:vertAlign w:val="baseline"/>
                <w:lang w:val="en-US" w:eastAsia="zh-CN"/>
              </w:rPr>
            </w:pPr>
            <w:r>
              <w:rPr>
                <w:rFonts w:hint="eastAsia" w:ascii="宋体" w:hAnsi="宋体" w:cs="宋体"/>
                <w:b/>
                <w:bCs w:val="0"/>
                <w:sz w:val="28"/>
                <w:szCs w:val="28"/>
                <w:highlight w:val="none"/>
                <w:vertAlign w:val="baseline"/>
                <w:lang w:val="en-US" w:eastAsia="zh-CN"/>
              </w:rPr>
              <w:t>考核内容</w:t>
            </w:r>
          </w:p>
        </w:tc>
        <w:tc>
          <w:tcPr>
            <w:tcW w:w="1890" w:type="dxa"/>
          </w:tcPr>
          <w:p>
            <w:pPr>
              <w:numPr>
                <w:ilvl w:val="0"/>
                <w:numId w:val="0"/>
              </w:numPr>
              <w:spacing w:line="560" w:lineRule="exact"/>
              <w:jc w:val="center"/>
              <w:rPr>
                <w:rFonts w:hint="default" w:ascii="宋体" w:hAnsi="宋体" w:cs="宋体"/>
                <w:b/>
                <w:bCs w:val="0"/>
                <w:sz w:val="28"/>
                <w:szCs w:val="28"/>
                <w:highlight w:val="none"/>
                <w:vertAlign w:val="baseline"/>
                <w:lang w:val="en-US" w:eastAsia="zh-CN"/>
              </w:rPr>
            </w:pPr>
            <w:r>
              <w:rPr>
                <w:rFonts w:hint="eastAsia" w:ascii="宋体" w:hAnsi="宋体" w:cs="宋体"/>
                <w:b/>
                <w:bCs w:val="0"/>
                <w:sz w:val="28"/>
                <w:szCs w:val="28"/>
                <w:highlight w:val="none"/>
                <w:vertAlign w:val="baseline"/>
                <w:lang w:val="en-US" w:eastAsia="zh-CN"/>
              </w:rPr>
              <w:t>扣分值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3" w:type="dxa"/>
            <w:vAlign w:val="center"/>
          </w:tcPr>
          <w:p>
            <w:pPr>
              <w:numPr>
                <w:ilvl w:val="0"/>
                <w:numId w:val="0"/>
              </w:numPr>
              <w:spacing w:line="560" w:lineRule="exact"/>
              <w:jc w:val="center"/>
              <w:rPr>
                <w:rFonts w:hint="default" w:ascii="宋体" w:hAnsi="宋体" w:cs="宋体"/>
                <w:bCs/>
                <w:sz w:val="28"/>
                <w:szCs w:val="28"/>
                <w:highlight w:val="none"/>
                <w:vertAlign w:val="baseline"/>
                <w:lang w:val="en-US" w:eastAsia="zh-CN"/>
              </w:rPr>
            </w:pPr>
            <w:r>
              <w:rPr>
                <w:rFonts w:hint="eastAsia" w:ascii="宋体" w:hAnsi="宋体" w:cs="宋体"/>
                <w:bCs/>
                <w:sz w:val="28"/>
                <w:szCs w:val="28"/>
                <w:highlight w:val="none"/>
                <w:vertAlign w:val="baseline"/>
                <w:lang w:val="en-US" w:eastAsia="zh-CN"/>
              </w:rPr>
              <w:t>1</w:t>
            </w:r>
          </w:p>
        </w:tc>
        <w:tc>
          <w:tcPr>
            <w:tcW w:w="7125" w:type="dxa"/>
            <w:vAlign w:val="center"/>
          </w:tcPr>
          <w:p>
            <w:pPr>
              <w:numPr>
                <w:ilvl w:val="0"/>
                <w:numId w:val="0"/>
              </w:numPr>
              <w:spacing w:line="560" w:lineRule="exact"/>
              <w:jc w:val="left"/>
              <w:rPr>
                <w:rFonts w:hint="default" w:ascii="宋体" w:hAnsi="宋体" w:eastAsia="宋体" w:cs="宋体"/>
                <w:bCs/>
                <w:sz w:val="28"/>
                <w:szCs w:val="28"/>
                <w:highlight w:val="none"/>
                <w:vertAlign w:val="baseline"/>
                <w:lang w:val="en-US" w:eastAsia="zh-CN"/>
              </w:rPr>
            </w:pPr>
            <w:r>
              <w:rPr>
                <w:rFonts w:hint="eastAsia" w:ascii="宋体" w:hAnsi="宋体" w:cs="宋体"/>
                <w:color w:val="000000"/>
                <w:kern w:val="0"/>
                <w:sz w:val="28"/>
                <w:szCs w:val="28"/>
                <w:vertAlign w:val="baseline"/>
                <w:lang w:val="en-US" w:eastAsia="zh-CN" w:bidi="ar"/>
              </w:rPr>
              <w:t>供应商</w:t>
            </w:r>
            <w:r>
              <w:rPr>
                <w:rFonts w:hint="eastAsia" w:ascii="宋体" w:hAnsi="宋体" w:eastAsia="宋体" w:cs="宋体"/>
                <w:color w:val="000000"/>
                <w:kern w:val="0"/>
                <w:sz w:val="28"/>
                <w:szCs w:val="28"/>
                <w:vertAlign w:val="baseline"/>
                <w:lang w:val="en-US" w:eastAsia="zh-CN" w:bidi="ar"/>
              </w:rPr>
              <w:t>需安排固定人员负责项目整体</w:t>
            </w:r>
            <w:r>
              <w:rPr>
                <w:rFonts w:hint="eastAsia" w:ascii="宋体" w:hAnsi="宋体" w:cs="宋体"/>
                <w:color w:val="000000"/>
                <w:kern w:val="0"/>
                <w:sz w:val="28"/>
                <w:szCs w:val="28"/>
                <w:vertAlign w:val="baseline"/>
                <w:lang w:val="en-US" w:eastAsia="zh-CN" w:bidi="ar"/>
              </w:rPr>
              <w:t>规划</w:t>
            </w:r>
            <w:r>
              <w:rPr>
                <w:rFonts w:hint="eastAsia" w:ascii="宋体" w:hAnsi="宋体" w:eastAsia="宋体" w:cs="宋体"/>
                <w:color w:val="000000"/>
                <w:kern w:val="0"/>
                <w:sz w:val="28"/>
                <w:szCs w:val="28"/>
                <w:vertAlign w:val="baseline"/>
                <w:lang w:val="en-US" w:eastAsia="zh-CN" w:bidi="ar"/>
              </w:rPr>
              <w:t>和对接，</w:t>
            </w:r>
            <w:r>
              <w:rPr>
                <w:rFonts w:hint="eastAsia" w:ascii="宋体" w:hAnsi="宋体" w:cs="宋体"/>
                <w:color w:val="000000"/>
                <w:kern w:val="0"/>
                <w:sz w:val="28"/>
                <w:szCs w:val="28"/>
                <w:vertAlign w:val="baseline"/>
                <w:lang w:val="en-US" w:eastAsia="zh-CN" w:bidi="ar"/>
              </w:rPr>
              <w:t>服务期内供应商到服务地点现场办公时间累计不得低于12人次*日（供应商现场办公人次*天数）。违反此规定少一日扣2分</w:t>
            </w:r>
            <w:r>
              <w:rPr>
                <w:rFonts w:hint="eastAsia" w:ascii="宋体" w:hAnsi="宋体" w:cs="宋体"/>
                <w:color w:val="000000"/>
                <w:kern w:val="0"/>
                <w:sz w:val="28"/>
                <w:szCs w:val="28"/>
                <w:lang w:bidi="ar"/>
              </w:rPr>
              <w:t>。</w:t>
            </w:r>
          </w:p>
        </w:tc>
        <w:tc>
          <w:tcPr>
            <w:tcW w:w="1890" w:type="dxa"/>
            <w:vAlign w:val="center"/>
          </w:tcPr>
          <w:p>
            <w:pPr>
              <w:numPr>
                <w:ilvl w:val="0"/>
                <w:numId w:val="0"/>
              </w:numPr>
              <w:spacing w:line="560" w:lineRule="exact"/>
              <w:jc w:val="center"/>
              <w:rPr>
                <w:rFonts w:hint="eastAsia" w:ascii="宋体" w:hAnsi="宋体" w:cs="宋体"/>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93" w:type="dxa"/>
            <w:vAlign w:val="center"/>
          </w:tcPr>
          <w:p>
            <w:pPr>
              <w:numPr>
                <w:ilvl w:val="0"/>
                <w:numId w:val="0"/>
              </w:numPr>
              <w:spacing w:line="560" w:lineRule="exact"/>
              <w:jc w:val="center"/>
              <w:rPr>
                <w:rFonts w:hint="default" w:ascii="宋体" w:hAnsi="宋体" w:cs="宋体"/>
                <w:bCs/>
                <w:sz w:val="28"/>
                <w:szCs w:val="28"/>
                <w:highlight w:val="none"/>
                <w:vertAlign w:val="baseline"/>
                <w:lang w:val="en-US" w:eastAsia="zh-CN"/>
              </w:rPr>
            </w:pPr>
            <w:r>
              <w:rPr>
                <w:rFonts w:hint="eastAsia" w:ascii="宋体" w:hAnsi="宋体" w:cs="宋体"/>
                <w:bCs/>
                <w:sz w:val="28"/>
                <w:szCs w:val="28"/>
                <w:highlight w:val="none"/>
                <w:vertAlign w:val="baseline"/>
                <w:lang w:val="en-US" w:eastAsia="zh-CN"/>
              </w:rPr>
              <w:t>2</w:t>
            </w:r>
          </w:p>
        </w:tc>
        <w:tc>
          <w:tcPr>
            <w:tcW w:w="7125" w:type="dxa"/>
            <w:vAlign w:val="center"/>
          </w:tcPr>
          <w:p>
            <w:pPr>
              <w:widowControl/>
              <w:numPr>
                <w:ilvl w:val="0"/>
                <w:numId w:val="0"/>
              </w:numPr>
              <w:spacing w:line="560" w:lineRule="exact"/>
              <w:jc w:val="left"/>
              <w:rPr>
                <w:rFonts w:hint="default" w:ascii="宋体" w:hAnsi="宋体" w:cs="宋体"/>
                <w:bCs/>
                <w:sz w:val="28"/>
                <w:szCs w:val="28"/>
                <w:highlight w:val="none"/>
                <w:vertAlign w:val="baseline"/>
                <w:lang w:val="en-US" w:eastAsia="zh-CN"/>
              </w:rPr>
            </w:pPr>
            <w:r>
              <w:rPr>
                <w:rFonts w:hint="eastAsia" w:ascii="宋体" w:hAnsi="宋体" w:eastAsia="宋体" w:cs="宋体"/>
                <w:bCs/>
                <w:sz w:val="28"/>
                <w:szCs w:val="28"/>
                <w:highlight w:val="none"/>
                <w:vertAlign w:val="baseline"/>
                <w:lang w:val="en-US" w:eastAsia="zh-CN"/>
              </w:rPr>
              <w:t>供应商开展各项工作</w:t>
            </w:r>
            <w:r>
              <w:rPr>
                <w:rFonts w:hint="eastAsia" w:ascii="宋体" w:hAnsi="宋体" w:eastAsia="宋体" w:cs="宋体"/>
                <w:bCs/>
                <w:kern w:val="2"/>
                <w:sz w:val="28"/>
                <w:szCs w:val="28"/>
                <w:highlight w:val="none"/>
                <w:lang w:val="en-US" w:eastAsia="zh-CN" w:bidi="ar"/>
              </w:rPr>
              <w:t>需</w:t>
            </w:r>
            <w:r>
              <w:rPr>
                <w:rFonts w:hint="eastAsia" w:ascii="宋体" w:hAnsi="宋体" w:eastAsia="宋体" w:cs="宋体"/>
                <w:bCs/>
                <w:sz w:val="28"/>
                <w:szCs w:val="28"/>
                <w:highlight w:val="none"/>
              </w:rPr>
              <w:t>按照与采购人约定</w:t>
            </w:r>
            <w:r>
              <w:rPr>
                <w:rFonts w:hint="eastAsia" w:ascii="宋体" w:hAnsi="宋体" w:eastAsia="宋体" w:cs="宋体"/>
                <w:bCs/>
                <w:sz w:val="28"/>
                <w:szCs w:val="28"/>
                <w:highlight w:val="none"/>
                <w:lang w:val="en-US" w:eastAsia="zh-CN"/>
              </w:rPr>
              <w:t>开展</w:t>
            </w:r>
            <w:r>
              <w:rPr>
                <w:rFonts w:hint="eastAsia" w:ascii="宋体" w:hAnsi="宋体" w:eastAsia="宋体" w:cs="宋体"/>
                <w:bCs/>
                <w:kern w:val="2"/>
                <w:sz w:val="28"/>
                <w:szCs w:val="28"/>
                <w:highlight w:val="none"/>
                <w:lang w:val="en-US" w:eastAsia="zh-CN" w:bidi="ar"/>
              </w:rPr>
              <w:t>。违反此规定，每次扣</w:t>
            </w:r>
            <w:r>
              <w:rPr>
                <w:rFonts w:hint="eastAsia" w:ascii="宋体" w:hAnsi="宋体" w:cs="宋体"/>
                <w:bCs/>
                <w:kern w:val="2"/>
                <w:sz w:val="28"/>
                <w:szCs w:val="28"/>
                <w:highlight w:val="none"/>
                <w:lang w:val="en-US" w:eastAsia="zh-CN" w:bidi="ar"/>
              </w:rPr>
              <w:t>2</w:t>
            </w:r>
            <w:r>
              <w:rPr>
                <w:rFonts w:hint="eastAsia" w:ascii="宋体" w:hAnsi="宋体" w:eastAsia="宋体" w:cs="宋体"/>
                <w:bCs/>
                <w:kern w:val="2"/>
                <w:sz w:val="28"/>
                <w:szCs w:val="28"/>
                <w:highlight w:val="none"/>
                <w:lang w:val="en-US" w:eastAsia="zh-CN" w:bidi="ar"/>
              </w:rPr>
              <w:t>分。</w:t>
            </w:r>
          </w:p>
        </w:tc>
        <w:tc>
          <w:tcPr>
            <w:tcW w:w="1890" w:type="dxa"/>
            <w:vAlign w:val="center"/>
          </w:tcPr>
          <w:p>
            <w:pPr>
              <w:numPr>
                <w:ilvl w:val="0"/>
                <w:numId w:val="0"/>
              </w:numPr>
              <w:spacing w:line="560" w:lineRule="exact"/>
              <w:jc w:val="center"/>
              <w:rPr>
                <w:rFonts w:hint="eastAsia" w:ascii="宋体" w:hAnsi="宋体" w:cs="宋体"/>
                <w:bCs/>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893" w:type="dxa"/>
            <w:vAlign w:val="center"/>
          </w:tcPr>
          <w:p>
            <w:pPr>
              <w:numPr>
                <w:ilvl w:val="0"/>
                <w:numId w:val="0"/>
              </w:numPr>
              <w:spacing w:line="560" w:lineRule="exact"/>
              <w:jc w:val="center"/>
              <w:rPr>
                <w:rFonts w:hint="default" w:ascii="宋体" w:hAnsi="宋体" w:cs="宋体"/>
                <w:bCs/>
                <w:sz w:val="28"/>
                <w:szCs w:val="28"/>
                <w:highlight w:val="none"/>
                <w:vertAlign w:val="baseline"/>
                <w:lang w:val="en-US" w:eastAsia="zh-CN"/>
              </w:rPr>
            </w:pPr>
            <w:r>
              <w:rPr>
                <w:rFonts w:hint="eastAsia" w:ascii="宋体" w:hAnsi="宋体" w:cs="宋体"/>
                <w:bCs/>
                <w:sz w:val="28"/>
                <w:szCs w:val="28"/>
                <w:highlight w:val="none"/>
                <w:vertAlign w:val="baseline"/>
                <w:lang w:val="en-US" w:eastAsia="zh-CN"/>
              </w:rPr>
              <w:t>3</w:t>
            </w:r>
          </w:p>
        </w:tc>
        <w:tc>
          <w:tcPr>
            <w:tcW w:w="7125" w:type="dxa"/>
            <w:vAlign w:val="center"/>
          </w:tcPr>
          <w:p>
            <w:pPr>
              <w:numPr>
                <w:ilvl w:val="0"/>
                <w:numId w:val="0"/>
              </w:numPr>
              <w:spacing w:line="560" w:lineRule="exact"/>
              <w:jc w:val="left"/>
              <w:rPr>
                <w:rFonts w:hint="default" w:ascii="宋体" w:hAnsi="宋体" w:cs="宋体"/>
                <w:bCs/>
                <w:sz w:val="28"/>
                <w:szCs w:val="28"/>
                <w:highlight w:val="none"/>
                <w:vertAlign w:val="baseline"/>
                <w:lang w:val="en-US" w:eastAsia="zh-CN"/>
              </w:rPr>
            </w:pPr>
            <w:r>
              <w:rPr>
                <w:rFonts w:hint="eastAsia" w:ascii="宋体" w:hAnsi="宋体" w:cs="宋体"/>
                <w:bCs/>
                <w:sz w:val="28"/>
                <w:szCs w:val="28"/>
                <w:highlight w:val="none"/>
                <w:vertAlign w:val="baseline"/>
                <w:lang w:val="en-US" w:eastAsia="zh-CN"/>
              </w:rPr>
              <w:t>供应商在考评工作过程中不得出现徇私舞弊等可能影响考评结果公平性的行为，如有违反扣10分。</w:t>
            </w:r>
          </w:p>
        </w:tc>
        <w:tc>
          <w:tcPr>
            <w:tcW w:w="1890" w:type="dxa"/>
            <w:vAlign w:val="center"/>
          </w:tcPr>
          <w:p>
            <w:pPr>
              <w:numPr>
                <w:ilvl w:val="0"/>
                <w:numId w:val="0"/>
              </w:numPr>
              <w:spacing w:line="560" w:lineRule="exact"/>
              <w:jc w:val="center"/>
              <w:rPr>
                <w:rFonts w:hint="eastAsia" w:ascii="宋体" w:hAnsi="宋体" w:cs="宋体"/>
                <w:bCs/>
                <w:sz w:val="28"/>
                <w:szCs w:val="28"/>
                <w:highlight w:val="none"/>
                <w:vertAlign w:val="baseline"/>
                <w:lang w:val="en-US" w:eastAsia="zh-CN"/>
              </w:rPr>
            </w:pPr>
          </w:p>
        </w:tc>
      </w:tr>
    </w:tbl>
    <w:p>
      <w:pPr>
        <w:numPr>
          <w:ilvl w:val="0"/>
          <w:numId w:val="0"/>
        </w:numPr>
        <w:spacing w:line="560" w:lineRule="exact"/>
        <w:ind w:left="420" w:leftChars="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lang w:eastAsia="zh-CN"/>
        </w:rPr>
        <w:t>）</w:t>
      </w:r>
      <w:r>
        <w:rPr>
          <w:rFonts w:hint="eastAsia" w:ascii="宋体" w:hAnsi="宋体" w:cs="宋体"/>
          <w:b/>
          <w:bCs/>
          <w:i w:val="0"/>
          <w:iCs/>
          <w:color w:val="auto"/>
          <w:kern w:val="2"/>
          <w:sz w:val="28"/>
          <w:szCs w:val="28"/>
          <w:highlight w:val="none"/>
          <w:u w:val="none"/>
          <w:lang w:val="en-US" w:eastAsia="zh-CN" w:bidi="ar-SA"/>
        </w:rPr>
        <w:t>商</w:t>
      </w:r>
      <w:r>
        <w:rPr>
          <w:rFonts w:hint="eastAsia" w:ascii="宋体" w:hAnsi="宋体" w:eastAsia="宋体" w:cs="宋体"/>
          <w:b/>
          <w:bCs/>
          <w:color w:val="auto"/>
          <w:sz w:val="28"/>
          <w:szCs w:val="28"/>
          <w:highlight w:val="none"/>
        </w:rPr>
        <w:t>务要求</w:t>
      </w:r>
    </w:p>
    <w:p>
      <w:pPr>
        <w:spacing w:line="360" w:lineRule="auto"/>
        <w:ind w:firstLine="560" w:firstLineChars="200"/>
        <w:rPr>
          <w:rFonts w:hint="eastAsia" w:ascii="宋体" w:hAnsi="宋体" w:eastAsia="宋体" w:cs="宋体"/>
          <w:b/>
          <w:bCs/>
          <w:sz w:val="28"/>
          <w:szCs w:val="28"/>
          <w:highlight w:val="none"/>
          <w:lang w:val="en-GB" w:eastAsia="zh-CN"/>
        </w:rPr>
      </w:pPr>
      <w:r>
        <w:rPr>
          <w:rFonts w:hint="eastAsia" w:ascii="宋体" w:hAnsi="宋体" w:eastAsia="宋体" w:cs="宋体"/>
          <w:b/>
          <w:bCs/>
          <w:sz w:val="28"/>
          <w:szCs w:val="28"/>
          <w:highlight w:val="none"/>
          <w:lang w:val="en-US" w:eastAsia="zh-CN"/>
        </w:rPr>
        <w:t>1.</w:t>
      </w:r>
      <w:r>
        <w:rPr>
          <w:rFonts w:hint="eastAsia" w:ascii="宋体" w:hAnsi="宋体" w:eastAsia="宋体" w:cs="宋体"/>
          <w:b/>
          <w:bCs/>
          <w:sz w:val="28"/>
          <w:szCs w:val="28"/>
          <w:highlight w:val="none"/>
          <w:lang w:val="en-GB" w:eastAsia="zh-CN"/>
        </w:rPr>
        <w:t>报价要求：</w:t>
      </w:r>
    </w:p>
    <w:p>
      <w:pPr>
        <w:pStyle w:val="18"/>
        <w:adjustRightInd w:val="0"/>
        <w:snapToGrid w:val="0"/>
        <w:spacing w:line="360" w:lineRule="auto"/>
        <w:ind w:firstLine="560" w:firstLineChars="200"/>
        <w:rPr>
          <w:rFonts w:ascii="宋体" w:hAnsi="宋体" w:cs="宋体"/>
          <w:bCs/>
          <w:sz w:val="28"/>
          <w:szCs w:val="28"/>
          <w:highlight w:val="none"/>
        </w:rPr>
      </w:pPr>
      <w:r>
        <w:rPr>
          <w:rFonts w:hint="eastAsia" w:ascii="宋体" w:hAnsi="宋体" w:eastAsia="宋体" w:cs="宋体"/>
          <w:sz w:val="28"/>
          <w:szCs w:val="28"/>
          <w:highlight w:val="none"/>
          <w:lang w:val="en-US" w:eastAsia="zh-CN"/>
        </w:rPr>
        <w:t>1.1</w:t>
      </w:r>
      <w:r>
        <w:rPr>
          <w:rFonts w:hint="eastAsia" w:ascii="宋体" w:hAnsi="宋体" w:cs="宋体"/>
          <w:bCs/>
          <w:sz w:val="28"/>
          <w:szCs w:val="28"/>
          <w:highlight w:val="none"/>
        </w:rPr>
        <w:t>投标报价为人民币报价，总价包干。投标报价应包括但不限于以下费用：服务人员的工资、福利、法定节假日加班费、员工的社会保险费用（包括养老、医疗、工伤、生育险和失业保险，其费用必须符合现行佛山市政府最新的相关规定）、公积金、人身意外商业保险费（保额不低于100万元）、高温补贴费、节日慰问费、服装费、通信补贴、招聘费、体检费、劳保用品、装备费、培训费、税费、招标代理服务费、不可预见费等完成本项目内容所需的一切费用。以上费用除</w:t>
      </w:r>
      <w:r>
        <w:rPr>
          <w:rFonts w:hint="eastAsia" w:ascii="宋体" w:hAnsi="宋体" w:cs="宋体"/>
          <w:bCs/>
          <w:sz w:val="28"/>
          <w:szCs w:val="28"/>
          <w:highlight w:val="none"/>
          <w:lang w:val="en-US" w:eastAsia="zh-CN"/>
        </w:rPr>
        <w:t>采购</w:t>
      </w:r>
      <w:r>
        <w:rPr>
          <w:rFonts w:hint="eastAsia" w:ascii="宋体" w:hAnsi="宋体" w:cs="宋体"/>
          <w:bCs/>
          <w:sz w:val="28"/>
          <w:szCs w:val="28"/>
          <w:highlight w:val="none"/>
        </w:rPr>
        <w:t>文件有特殊要求外，服务期内</w:t>
      </w:r>
      <w:r>
        <w:rPr>
          <w:rFonts w:hint="eastAsia" w:ascii="宋体" w:hAnsi="宋体" w:cs="宋体"/>
          <w:bCs/>
          <w:sz w:val="28"/>
          <w:szCs w:val="28"/>
          <w:highlight w:val="none"/>
          <w:lang w:eastAsia="zh-CN"/>
        </w:rPr>
        <w:t>采购人</w:t>
      </w:r>
      <w:r>
        <w:rPr>
          <w:rFonts w:hint="eastAsia" w:ascii="宋体" w:hAnsi="宋体" w:cs="宋体"/>
          <w:bCs/>
          <w:sz w:val="28"/>
          <w:szCs w:val="28"/>
          <w:highlight w:val="none"/>
        </w:rPr>
        <w:t>都不再增加任何费用。</w:t>
      </w:r>
    </w:p>
    <w:p>
      <w:pPr>
        <w:spacing w:line="360" w:lineRule="auto"/>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1.2</w:t>
      </w:r>
      <w:r>
        <w:rPr>
          <w:rFonts w:hint="eastAsia" w:ascii="宋体" w:hAnsi="宋体" w:eastAsia="宋体" w:cs="宋体"/>
          <w:sz w:val="28"/>
          <w:szCs w:val="28"/>
          <w:highlight w:val="none"/>
          <w:lang w:eastAsia="zh-CN"/>
        </w:rPr>
        <w:t>报价要求：</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投标人的投标报价应包括单价和总价，总价是对应于</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本次采购的所有内容所计算的总价，为合同总价；其填报的明细单价则应是投标人对本采购项目所包含的具体的货物进行详细列示的计算单价。</w:t>
      </w:r>
    </w:p>
    <w:p>
      <w:pPr>
        <w:pStyle w:val="5"/>
        <w:widowControl w:val="0"/>
        <w:numPr>
          <w:ilvl w:val="0"/>
          <w:numId w:val="0"/>
        </w:numPr>
        <w:tabs>
          <w:tab w:val="left" w:pos="0"/>
        </w:tabs>
        <w:spacing w:line="360" w:lineRule="auto"/>
        <w:ind w:firstLine="560" w:firstLineChars="200"/>
        <w:jc w:val="both"/>
        <w:rPr>
          <w:rFonts w:hint="eastAsia" w:ascii="宋体" w:hAnsi="宋体" w:eastAsia="宋体" w:cs="宋体"/>
          <w:b/>
          <w:bCs/>
          <w:i w:val="0"/>
          <w:iCs/>
          <w:color w:val="auto"/>
          <w:kern w:val="2"/>
          <w:sz w:val="28"/>
          <w:szCs w:val="28"/>
          <w:highlight w:val="none"/>
          <w:u w:val="none"/>
          <w:lang w:val="en-US" w:eastAsia="zh-CN" w:bidi="ar-SA"/>
        </w:rPr>
      </w:pPr>
      <w:r>
        <w:rPr>
          <w:rFonts w:hint="eastAsia" w:ascii="宋体" w:hAnsi="宋体" w:eastAsia="宋体" w:cs="宋体"/>
          <w:b/>
          <w:bCs/>
          <w:i w:val="0"/>
          <w:iCs/>
          <w:color w:val="auto"/>
          <w:kern w:val="2"/>
          <w:sz w:val="28"/>
          <w:szCs w:val="28"/>
          <w:highlight w:val="none"/>
          <w:u w:val="none"/>
          <w:lang w:val="en-US" w:eastAsia="zh-CN" w:bidi="ar-SA"/>
        </w:rPr>
        <w:t>2.服务期及服务地点：</w:t>
      </w:r>
    </w:p>
    <w:p>
      <w:pPr>
        <w:spacing w:line="360" w:lineRule="auto"/>
        <w:ind w:firstLine="560" w:firstLineChars="200"/>
        <w:rPr>
          <w:rFonts w:hint="default" w:ascii="宋体" w:hAnsi="宋体" w:cs="宋体"/>
          <w:i w:val="0"/>
          <w:iCs/>
          <w:color w:val="auto"/>
          <w:kern w:val="2"/>
          <w:sz w:val="28"/>
          <w:szCs w:val="28"/>
          <w:highlight w:val="none"/>
          <w:u w:val="none"/>
          <w:lang w:val="en-US" w:eastAsia="zh-CN" w:bidi="ar-SA"/>
        </w:rPr>
      </w:pPr>
      <w:r>
        <w:rPr>
          <w:rFonts w:hint="eastAsia" w:ascii="宋体" w:hAnsi="宋体" w:eastAsia="宋体" w:cs="宋体"/>
          <w:i w:val="0"/>
          <w:iCs/>
          <w:color w:val="auto"/>
          <w:kern w:val="2"/>
          <w:sz w:val="28"/>
          <w:szCs w:val="28"/>
          <w:highlight w:val="none"/>
          <w:u w:val="none"/>
          <w:lang w:val="en-US" w:eastAsia="zh-CN" w:bidi="ar-SA"/>
        </w:rPr>
        <w:t>2.1服务期：自</w:t>
      </w:r>
      <w:r>
        <w:rPr>
          <w:rFonts w:hint="eastAsia" w:ascii="宋体" w:hAnsi="宋体"/>
          <w:color w:val="000000"/>
          <w:sz w:val="28"/>
          <w:szCs w:val="28"/>
          <w:highlight w:val="none"/>
          <w:lang w:val="en-US" w:eastAsia="zh-CN"/>
        </w:rPr>
        <w:t>合同签订</w:t>
      </w:r>
      <w:r>
        <w:rPr>
          <w:rFonts w:hint="default" w:ascii="宋体" w:hAnsi="宋体"/>
          <w:color w:val="000000"/>
          <w:sz w:val="28"/>
          <w:szCs w:val="28"/>
          <w:highlight w:val="none"/>
          <w:lang w:val="en-US" w:eastAsia="zh-CN"/>
        </w:rPr>
        <w:t>后</w:t>
      </w:r>
      <w:r>
        <w:rPr>
          <w:rFonts w:hint="eastAsia" w:ascii="宋体" w:hAnsi="宋体"/>
          <w:color w:val="000000"/>
          <w:sz w:val="28"/>
          <w:szCs w:val="28"/>
          <w:highlight w:val="none"/>
          <w:lang w:val="en-US" w:eastAsia="zh-CN"/>
        </w:rPr>
        <w:t>至2024年</w:t>
      </w:r>
      <w:r>
        <w:rPr>
          <w:rFonts w:hint="default" w:ascii="宋体" w:hAnsi="宋体"/>
          <w:color w:val="000000"/>
          <w:sz w:val="28"/>
          <w:szCs w:val="28"/>
          <w:highlight w:val="none"/>
          <w:lang w:val="en-US" w:eastAsia="zh-CN"/>
        </w:rPr>
        <w:t>第一季度结束</w:t>
      </w:r>
      <w:r>
        <w:rPr>
          <w:rFonts w:hint="eastAsia" w:ascii="宋体" w:hAnsi="宋体"/>
          <w:color w:val="000000"/>
          <w:sz w:val="28"/>
          <w:szCs w:val="28"/>
          <w:highlight w:val="none"/>
          <w:lang w:val="en-US" w:eastAsia="zh-CN"/>
        </w:rPr>
        <w:t>。</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2.2服务地点：</w:t>
      </w:r>
      <w:r>
        <w:rPr>
          <w:rFonts w:hint="eastAsia" w:ascii="宋体" w:hAnsi="宋体" w:cs="宋体"/>
          <w:sz w:val="28"/>
          <w:szCs w:val="28"/>
          <w:highlight w:val="none"/>
          <w:lang w:val="en-US" w:eastAsia="zh-CN"/>
        </w:rPr>
        <w:t>采购人</w:t>
      </w:r>
      <w:r>
        <w:rPr>
          <w:rFonts w:hint="eastAsia" w:ascii="宋体" w:hAnsi="宋体" w:eastAsia="宋体" w:cs="宋体"/>
          <w:sz w:val="28"/>
          <w:szCs w:val="28"/>
          <w:highlight w:val="none"/>
          <w:lang w:val="en-US" w:eastAsia="zh-CN"/>
        </w:rPr>
        <w:t>指定地点（佛山市南海区里水镇范围内）/南方医科大学第七附属医院。</w:t>
      </w:r>
    </w:p>
    <w:p>
      <w:pPr>
        <w:pStyle w:val="5"/>
        <w:widowControl w:val="0"/>
        <w:tabs>
          <w:tab w:val="left" w:pos="0"/>
        </w:tabs>
        <w:spacing w:line="360" w:lineRule="auto"/>
        <w:ind w:firstLine="560" w:firstLineChars="200"/>
        <w:jc w:val="both"/>
        <w:rPr>
          <w:rFonts w:hint="eastAsia" w:ascii="宋体" w:hAnsi="宋体" w:eastAsia="宋体" w:cs="宋体"/>
          <w:b/>
          <w:bCs/>
          <w:i w:val="0"/>
          <w:iCs/>
          <w:color w:val="auto"/>
          <w:kern w:val="2"/>
          <w:sz w:val="28"/>
          <w:szCs w:val="28"/>
          <w:highlight w:val="none"/>
          <w:u w:val="none"/>
          <w:lang w:val="en-US" w:eastAsia="zh-CN" w:bidi="ar-SA"/>
        </w:rPr>
      </w:pPr>
      <w:r>
        <w:rPr>
          <w:rFonts w:hint="eastAsia" w:ascii="宋体" w:hAnsi="宋体" w:eastAsia="宋体" w:cs="宋体"/>
          <w:b/>
          <w:bCs/>
          <w:i w:val="0"/>
          <w:iCs/>
          <w:color w:val="auto"/>
          <w:kern w:val="2"/>
          <w:sz w:val="28"/>
          <w:szCs w:val="28"/>
          <w:highlight w:val="none"/>
          <w:u w:val="none"/>
          <w:lang w:val="en-US" w:eastAsia="zh-CN" w:bidi="ar-SA"/>
        </w:rPr>
        <w:t>3.付款方式：</w:t>
      </w:r>
    </w:p>
    <w:p>
      <w:pPr>
        <w:pStyle w:val="18"/>
        <w:adjustRightInd w:val="0"/>
        <w:snapToGrid w:val="0"/>
        <w:spacing w:line="360" w:lineRule="auto"/>
        <w:ind w:firstLine="560"/>
        <w:rPr>
          <w:rFonts w:hint="eastAsia" w:ascii="宋体" w:hAnsi="宋体" w:cs="宋体"/>
          <w:bCs/>
          <w:sz w:val="28"/>
          <w:szCs w:val="28"/>
          <w:highlight w:val="none"/>
        </w:rPr>
      </w:pPr>
      <w:bookmarkStart w:id="3" w:name="_Hlk66369326"/>
      <w:r>
        <w:rPr>
          <w:rFonts w:hint="eastAsia" w:ascii="宋体" w:hAnsi="宋体" w:cs="宋体"/>
          <w:bCs/>
          <w:sz w:val="28"/>
          <w:szCs w:val="28"/>
          <w:highlight w:val="none"/>
          <w:lang w:val="en-US" w:eastAsia="zh-CN"/>
        </w:rPr>
        <w:t>3.1</w:t>
      </w:r>
      <w:r>
        <w:rPr>
          <w:rFonts w:hint="eastAsia" w:ascii="宋体" w:hAnsi="宋体" w:cs="宋体"/>
          <w:bCs/>
          <w:sz w:val="28"/>
          <w:szCs w:val="28"/>
          <w:highlight w:val="none"/>
        </w:rPr>
        <w:t>服务费</w:t>
      </w:r>
      <w:r>
        <w:rPr>
          <w:rFonts w:hint="eastAsia" w:ascii="宋体" w:hAnsi="宋体" w:cs="宋体"/>
          <w:bCs/>
          <w:sz w:val="28"/>
          <w:szCs w:val="28"/>
          <w:highlight w:val="none"/>
          <w:lang w:val="en-US" w:eastAsia="zh-CN"/>
        </w:rPr>
        <w:t>分二期</w:t>
      </w:r>
      <w:r>
        <w:rPr>
          <w:rFonts w:hint="eastAsia" w:ascii="宋体" w:hAnsi="宋体" w:cs="宋体"/>
          <w:bCs/>
          <w:sz w:val="28"/>
          <w:szCs w:val="28"/>
          <w:highlight w:val="none"/>
        </w:rPr>
        <w:t>进行支付。</w:t>
      </w:r>
    </w:p>
    <w:p>
      <w:pPr>
        <w:pStyle w:val="18"/>
        <w:adjustRightInd w:val="0"/>
        <w:snapToGrid w:val="0"/>
        <w:spacing w:line="360" w:lineRule="auto"/>
        <w:ind w:firstLine="560"/>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3.1.1第一期：合同签订生效后45天内，采购人</w:t>
      </w:r>
      <w:r>
        <w:rPr>
          <w:rFonts w:hint="eastAsia" w:ascii="宋体" w:hAnsi="宋体" w:eastAsia="宋体" w:cs="宋体"/>
          <w:i w:val="0"/>
          <w:iCs/>
          <w:color w:val="auto"/>
          <w:kern w:val="2"/>
          <w:sz w:val="28"/>
          <w:szCs w:val="28"/>
          <w:u w:val="none"/>
          <w:lang w:val="en-US" w:eastAsia="zh-CN" w:bidi="ar-SA"/>
        </w:rPr>
        <w:t>以银行账转方式向供应商</w:t>
      </w:r>
      <w:r>
        <w:rPr>
          <w:rFonts w:hint="eastAsia" w:ascii="宋体" w:hAnsi="宋体" w:cs="宋体"/>
          <w:bCs/>
          <w:sz w:val="28"/>
          <w:szCs w:val="28"/>
          <w:highlight w:val="none"/>
          <w:lang w:val="en-US" w:eastAsia="zh-CN"/>
        </w:rPr>
        <w:t>支付合同金额的50%；</w:t>
      </w:r>
    </w:p>
    <w:p>
      <w:pPr>
        <w:pStyle w:val="18"/>
        <w:adjustRightInd w:val="0"/>
        <w:snapToGrid w:val="0"/>
        <w:spacing w:line="360" w:lineRule="auto"/>
        <w:ind w:firstLine="560"/>
        <w:rPr>
          <w:rFonts w:hint="eastAsia" w:ascii="宋体" w:hAnsi="宋体" w:cs="宋体"/>
          <w:bCs/>
          <w:sz w:val="28"/>
          <w:szCs w:val="28"/>
          <w:highlight w:val="none"/>
        </w:rPr>
      </w:pPr>
      <w:r>
        <w:rPr>
          <w:rFonts w:hint="eastAsia" w:ascii="宋体" w:hAnsi="宋体" w:cs="宋体"/>
          <w:bCs/>
          <w:sz w:val="28"/>
          <w:szCs w:val="28"/>
          <w:highlight w:val="none"/>
          <w:lang w:val="en-US" w:eastAsia="zh-CN"/>
        </w:rPr>
        <w:t>3.1.2第二期：供应商完成考评工作后，经采购人审核验收通过后45天内，采购人</w:t>
      </w:r>
      <w:r>
        <w:rPr>
          <w:rFonts w:hint="eastAsia" w:ascii="宋体" w:hAnsi="宋体" w:eastAsia="宋体" w:cs="宋体"/>
          <w:i w:val="0"/>
          <w:iCs/>
          <w:color w:val="auto"/>
          <w:kern w:val="2"/>
          <w:sz w:val="28"/>
          <w:szCs w:val="28"/>
          <w:u w:val="none"/>
          <w:lang w:val="en-US" w:eastAsia="zh-CN" w:bidi="ar-SA"/>
        </w:rPr>
        <w:t>以银行账转方式向供应商</w:t>
      </w:r>
      <w:r>
        <w:rPr>
          <w:rFonts w:hint="eastAsia" w:ascii="宋体" w:hAnsi="宋体" w:cs="宋体"/>
          <w:bCs/>
          <w:sz w:val="28"/>
          <w:szCs w:val="28"/>
          <w:highlight w:val="none"/>
          <w:lang w:val="en-US" w:eastAsia="zh-CN"/>
        </w:rPr>
        <w:t>支付合同金额的50%</w:t>
      </w:r>
      <w:r>
        <w:rPr>
          <w:rFonts w:hint="eastAsia" w:ascii="宋体" w:hAnsi="宋体" w:cs="宋体"/>
          <w:bCs/>
          <w:sz w:val="28"/>
          <w:szCs w:val="28"/>
          <w:highlight w:val="none"/>
        </w:rPr>
        <w:t>。</w:t>
      </w:r>
    </w:p>
    <w:p>
      <w:pPr>
        <w:pStyle w:val="18"/>
        <w:adjustRightInd w:val="0"/>
        <w:snapToGrid w:val="0"/>
        <w:spacing w:line="360" w:lineRule="auto"/>
        <w:ind w:firstLine="560"/>
        <w:rPr>
          <w:rFonts w:ascii="宋体" w:hAnsi="宋体" w:cs="宋体"/>
          <w:bCs/>
          <w:sz w:val="28"/>
          <w:szCs w:val="28"/>
          <w:highlight w:val="none"/>
        </w:rPr>
      </w:pPr>
      <w:r>
        <w:rPr>
          <w:rFonts w:hint="eastAsia" w:ascii="宋体" w:hAnsi="宋体" w:cs="宋体"/>
          <w:bCs/>
          <w:sz w:val="28"/>
          <w:szCs w:val="28"/>
          <w:highlight w:val="none"/>
          <w:lang w:val="en-US" w:eastAsia="zh-CN"/>
        </w:rPr>
        <w:t xml:space="preserve">3.2 </w:t>
      </w:r>
      <w:r>
        <w:rPr>
          <w:rFonts w:hint="eastAsia" w:ascii="宋体" w:hAnsi="宋体" w:cs="宋体"/>
          <w:bCs/>
          <w:sz w:val="28"/>
          <w:szCs w:val="28"/>
          <w:highlight w:val="none"/>
          <w:lang w:eastAsia="zh-CN"/>
        </w:rPr>
        <w:t>采购人</w:t>
      </w:r>
      <w:r>
        <w:rPr>
          <w:rFonts w:hint="eastAsia" w:ascii="宋体" w:hAnsi="宋体" w:cs="宋体"/>
          <w:bCs/>
          <w:sz w:val="28"/>
          <w:szCs w:val="28"/>
          <w:highlight w:val="none"/>
        </w:rPr>
        <w:t>凭以下文件支付合同款：</w:t>
      </w:r>
    </w:p>
    <w:p>
      <w:pPr>
        <w:pStyle w:val="18"/>
        <w:adjustRightInd w:val="0"/>
        <w:snapToGrid w:val="0"/>
        <w:spacing w:line="360" w:lineRule="auto"/>
        <w:ind w:firstLine="560"/>
        <w:rPr>
          <w:rFonts w:ascii="宋体" w:hAnsi="宋体" w:cs="宋体"/>
          <w:bCs/>
          <w:sz w:val="28"/>
          <w:szCs w:val="28"/>
          <w:highlight w:val="none"/>
        </w:rPr>
      </w:pPr>
      <w:r>
        <w:rPr>
          <w:rFonts w:hint="eastAsia" w:ascii="宋体" w:hAnsi="宋体" w:cs="宋体"/>
          <w:bCs/>
          <w:sz w:val="28"/>
          <w:szCs w:val="28"/>
          <w:highlight w:val="none"/>
          <w:lang w:val="en-US" w:eastAsia="zh-CN"/>
        </w:rPr>
        <w:t>3.</w:t>
      </w:r>
      <w:r>
        <w:rPr>
          <w:rFonts w:hint="eastAsia" w:ascii="宋体" w:hAnsi="宋体" w:cs="宋体"/>
          <w:bCs/>
          <w:sz w:val="28"/>
          <w:szCs w:val="28"/>
          <w:highlight w:val="none"/>
        </w:rPr>
        <w:t>2.1合同复印件；</w:t>
      </w:r>
    </w:p>
    <w:p>
      <w:pPr>
        <w:pStyle w:val="18"/>
        <w:adjustRightInd w:val="0"/>
        <w:snapToGrid w:val="0"/>
        <w:spacing w:line="360" w:lineRule="auto"/>
        <w:ind w:firstLine="560"/>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2.2</w:t>
      </w:r>
      <w:r>
        <w:rPr>
          <w:rFonts w:hint="eastAsia" w:ascii="宋体" w:hAnsi="宋体" w:eastAsia="宋体" w:cs="宋体"/>
          <w:bCs/>
          <w:sz w:val="28"/>
          <w:szCs w:val="28"/>
          <w:highlight w:val="none"/>
          <w:lang w:val="en-US" w:eastAsia="zh-CN"/>
        </w:rPr>
        <w:t>考评成果报告（</w:t>
      </w:r>
      <w:r>
        <w:rPr>
          <w:rFonts w:hint="eastAsia" w:ascii="宋体" w:hAnsi="宋体" w:eastAsia="宋体" w:cs="宋体"/>
          <w:bCs/>
          <w:i w:val="0"/>
          <w:iCs w:val="0"/>
          <w:kern w:val="2"/>
          <w:sz w:val="28"/>
          <w:szCs w:val="28"/>
          <w:highlight w:val="none"/>
          <w:u w:val="none"/>
          <w:lang w:val="en-US" w:eastAsia="zh-CN" w:bidi="ar-SA"/>
        </w:rPr>
        <w:t>于第二期款项支付时提供）</w:t>
      </w:r>
      <w:r>
        <w:rPr>
          <w:rFonts w:hint="eastAsia" w:ascii="宋体" w:hAnsi="宋体" w:eastAsia="宋体" w:cs="宋体"/>
          <w:bCs/>
          <w:sz w:val="28"/>
          <w:szCs w:val="28"/>
          <w:highlight w:val="none"/>
        </w:rPr>
        <w:t>；</w:t>
      </w:r>
    </w:p>
    <w:p>
      <w:pPr>
        <w:pStyle w:val="18"/>
        <w:adjustRightInd w:val="0"/>
        <w:snapToGrid w:val="0"/>
        <w:spacing w:line="360" w:lineRule="auto"/>
        <w:ind w:firstLine="560" w:firstLineChars="200"/>
        <w:rPr>
          <w:rFonts w:hint="eastAsia" w:ascii="宋体" w:hAnsi="宋体" w:eastAsia="宋体" w:cs="宋体"/>
          <w:bCs/>
          <w:i w:val="0"/>
          <w:iCs w:val="0"/>
          <w:kern w:val="2"/>
          <w:sz w:val="28"/>
          <w:szCs w:val="28"/>
          <w:highlight w:val="none"/>
          <w:u w:val="none"/>
          <w:lang w:val="en-US" w:eastAsia="zh-CN" w:bidi="ar-SA"/>
        </w:rPr>
      </w:pPr>
      <w:r>
        <w:rPr>
          <w:rFonts w:hint="eastAsia" w:ascii="宋体" w:hAnsi="宋体" w:eastAsia="宋体" w:cs="宋体"/>
          <w:bCs/>
          <w:i w:val="0"/>
          <w:iCs w:val="0"/>
          <w:kern w:val="2"/>
          <w:sz w:val="28"/>
          <w:szCs w:val="28"/>
          <w:highlight w:val="none"/>
          <w:u w:val="none"/>
          <w:lang w:val="en-US" w:eastAsia="zh-CN" w:bidi="ar-SA"/>
        </w:rPr>
        <w:t>3.2.3验收合格报告（加盖采购人公章，于第二期款项支付时提供）；</w:t>
      </w:r>
    </w:p>
    <w:p>
      <w:pPr>
        <w:pStyle w:val="18"/>
        <w:adjustRightInd w:val="0"/>
        <w:snapToGrid w:val="0"/>
        <w:spacing w:line="360" w:lineRule="auto"/>
        <w:ind w:firstLine="560"/>
        <w:rPr>
          <w:rFonts w:ascii="宋体" w:hAnsi="宋体" w:cs="宋体"/>
          <w:bCs/>
          <w:sz w:val="28"/>
          <w:szCs w:val="28"/>
          <w:highlight w:val="none"/>
        </w:rPr>
      </w:pPr>
      <w:r>
        <w:rPr>
          <w:rFonts w:hint="eastAsia" w:ascii="宋体" w:hAnsi="宋体" w:cs="宋体"/>
          <w:bCs/>
          <w:sz w:val="28"/>
          <w:szCs w:val="28"/>
          <w:highlight w:val="none"/>
          <w:lang w:val="en-US" w:eastAsia="zh-CN"/>
        </w:rPr>
        <w:t>3.</w:t>
      </w:r>
      <w:r>
        <w:rPr>
          <w:rFonts w:hint="eastAsia" w:ascii="宋体" w:hAnsi="宋体" w:cs="宋体"/>
          <w:bCs/>
          <w:sz w:val="28"/>
          <w:szCs w:val="28"/>
          <w:highlight w:val="none"/>
        </w:rPr>
        <w:t>2.</w:t>
      </w:r>
      <w:r>
        <w:rPr>
          <w:rFonts w:hint="eastAsia" w:ascii="宋体" w:hAnsi="宋体" w:cs="宋体"/>
          <w:bCs/>
          <w:sz w:val="28"/>
          <w:szCs w:val="28"/>
          <w:highlight w:val="none"/>
          <w:lang w:val="en-US" w:eastAsia="zh-CN"/>
        </w:rPr>
        <w:t>3供应商</w:t>
      </w:r>
      <w:r>
        <w:rPr>
          <w:rFonts w:hint="eastAsia" w:ascii="宋体" w:hAnsi="宋体" w:cs="宋体"/>
          <w:bCs/>
          <w:sz w:val="28"/>
          <w:szCs w:val="28"/>
          <w:highlight w:val="none"/>
        </w:rPr>
        <w:t>开具</w:t>
      </w:r>
      <w:r>
        <w:rPr>
          <w:rFonts w:hint="eastAsia" w:ascii="宋体" w:hAnsi="宋体" w:cs="宋体"/>
          <w:bCs/>
          <w:sz w:val="28"/>
          <w:szCs w:val="28"/>
          <w:highlight w:val="none"/>
          <w:lang w:val="en-US" w:eastAsia="zh-CN"/>
        </w:rPr>
        <w:t>的</w:t>
      </w:r>
      <w:r>
        <w:rPr>
          <w:rFonts w:hint="eastAsia" w:ascii="宋体" w:hAnsi="宋体" w:cs="宋体"/>
          <w:bCs/>
          <w:sz w:val="28"/>
          <w:szCs w:val="28"/>
          <w:highlight w:val="none"/>
        </w:rPr>
        <w:t>有效的服务类发票。</w:t>
      </w:r>
      <w:bookmarkEnd w:id="3"/>
    </w:p>
    <w:p>
      <w:pPr>
        <w:spacing w:line="276" w:lineRule="auto"/>
        <w:ind w:firstLine="560" w:firstLineChars="200"/>
        <w:rPr>
          <w:rFonts w:hint="eastAsia" w:ascii="宋体" w:hAnsi="宋体" w:eastAsia="宋体" w:cs="宋体"/>
          <w:b/>
          <w:bCs/>
          <w:sz w:val="28"/>
          <w:szCs w:val="28"/>
          <w:highlight w:val="none"/>
        </w:rPr>
      </w:pPr>
      <w:r>
        <w:rPr>
          <w:rFonts w:hint="eastAsia" w:ascii="宋体" w:hAnsi="宋体" w:cs="宋体"/>
          <w:b/>
          <w:bCs/>
          <w:sz w:val="28"/>
          <w:szCs w:val="28"/>
          <w:highlight w:val="none"/>
          <w:lang w:val="en-US" w:eastAsia="zh-CN"/>
        </w:rPr>
        <w:t>4</w:t>
      </w:r>
      <w:r>
        <w:rPr>
          <w:rFonts w:hint="eastAsia" w:ascii="宋体" w:hAnsi="宋体" w:eastAsia="宋体" w:cs="宋体"/>
          <w:b/>
          <w:bCs/>
          <w:sz w:val="28"/>
          <w:szCs w:val="28"/>
          <w:highlight w:val="none"/>
          <w:lang w:eastAsia="zh-CN"/>
        </w:rPr>
        <w:t>.</w:t>
      </w:r>
      <w:r>
        <w:rPr>
          <w:rFonts w:hint="eastAsia" w:ascii="宋体" w:hAnsi="宋体" w:eastAsia="宋体" w:cs="宋体"/>
          <w:b/>
          <w:bCs/>
          <w:sz w:val="28"/>
          <w:szCs w:val="28"/>
          <w:highlight w:val="none"/>
        </w:rPr>
        <w:t>保密条款</w:t>
      </w:r>
    </w:p>
    <w:p>
      <w:pPr>
        <w:spacing w:line="276" w:lineRule="auto"/>
        <w:ind w:firstLine="560" w:firstLineChars="200"/>
        <w:rPr>
          <w:rFonts w:hint="eastAsia" w:ascii="宋体" w:hAnsi="宋体" w:eastAsia="宋体" w:cs="宋体"/>
          <w:sz w:val="28"/>
          <w:szCs w:val="28"/>
          <w:highlight w:val="none"/>
          <w:lang w:val="en-US" w:eastAsia="zh-CN"/>
        </w:rPr>
      </w:pPr>
      <w:r>
        <w:rPr>
          <w:rFonts w:hint="eastAsia" w:ascii="宋体" w:hAnsi="宋体" w:cs="宋体"/>
          <w:bCs/>
          <w:color w:val="auto"/>
          <w:sz w:val="28"/>
          <w:szCs w:val="28"/>
          <w:highlight w:val="none"/>
        </w:rPr>
        <w:t>项目完成后，</w:t>
      </w:r>
      <w:r>
        <w:rPr>
          <w:rFonts w:hint="eastAsia" w:ascii="宋体" w:hAnsi="宋体" w:cs="宋体"/>
          <w:bCs/>
          <w:color w:val="auto"/>
          <w:sz w:val="28"/>
          <w:szCs w:val="28"/>
          <w:highlight w:val="none"/>
          <w:lang w:val="en-US" w:eastAsia="zh-CN"/>
        </w:rPr>
        <w:t>采购人和供应商双方</w:t>
      </w:r>
      <w:r>
        <w:rPr>
          <w:rFonts w:hint="eastAsia" w:ascii="宋体" w:hAnsi="宋体" w:cs="宋体"/>
          <w:bCs/>
          <w:color w:val="auto"/>
          <w:sz w:val="28"/>
          <w:szCs w:val="28"/>
          <w:highlight w:val="none"/>
        </w:rPr>
        <w:t>均有责任对本项目的技术保密承担责任</w:t>
      </w:r>
      <w:r>
        <w:rPr>
          <w:rFonts w:hint="eastAsia" w:ascii="宋体" w:hAnsi="宋体" w:cs="宋体"/>
          <w:bCs/>
          <w:color w:val="auto"/>
          <w:sz w:val="28"/>
          <w:szCs w:val="28"/>
          <w:highlight w:val="none"/>
          <w:lang w:eastAsia="zh-CN"/>
        </w:rPr>
        <w:t>，</w:t>
      </w:r>
      <w:r>
        <w:rPr>
          <w:rFonts w:hint="eastAsia" w:ascii="宋体" w:hAnsi="宋体" w:cs="宋体"/>
          <w:bCs/>
          <w:color w:val="auto"/>
          <w:sz w:val="28"/>
          <w:szCs w:val="28"/>
          <w:highlight w:val="none"/>
          <w:lang w:val="en-US" w:eastAsia="zh-CN"/>
        </w:rPr>
        <w:t>保密对象包括双方未公开资料，考评方案等。若由于一方过错导致泄密的，必须赔偿对另一方所造成的损失。</w:t>
      </w:r>
    </w:p>
    <w:p>
      <w:pPr>
        <w:numPr>
          <w:ilvl w:val="0"/>
          <w:numId w:val="0"/>
        </w:numPr>
        <w:spacing w:line="276" w:lineRule="auto"/>
        <w:ind w:firstLine="560" w:firstLineChars="200"/>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lang w:val="en-US" w:eastAsia="zh-CN"/>
        </w:rPr>
        <w:t>.违约责任与赔偿损失</w:t>
      </w:r>
    </w:p>
    <w:p>
      <w:pPr>
        <w:spacing w:line="360" w:lineRule="auto"/>
        <w:ind w:firstLine="560" w:firstLineChars="200"/>
        <w:rPr>
          <w:rFonts w:hint="eastAsia" w:ascii="宋体" w:hAnsi="宋体" w:eastAsia="宋体" w:cs="宋体"/>
          <w:bCs/>
          <w:sz w:val="28"/>
          <w:szCs w:val="28"/>
          <w:highlight w:val="none"/>
        </w:rPr>
      </w:pPr>
      <w:r>
        <w:rPr>
          <w:rFonts w:hint="eastAsia" w:ascii="宋体" w:hAnsi="宋体" w:cs="宋体"/>
          <w:bCs/>
          <w:sz w:val="28"/>
          <w:szCs w:val="28"/>
          <w:highlight w:val="none"/>
          <w:lang w:val="en-US" w:eastAsia="zh-CN"/>
        </w:rPr>
        <w:t>5</w:t>
      </w:r>
      <w:r>
        <w:rPr>
          <w:rFonts w:hint="eastAsia" w:ascii="宋体" w:hAnsi="宋体" w:eastAsia="宋体" w:cs="宋体"/>
          <w:bCs/>
          <w:sz w:val="28"/>
          <w:szCs w:val="28"/>
          <w:highlight w:val="none"/>
          <w:lang w:val="en-US" w:eastAsia="zh-CN"/>
        </w:rPr>
        <w:t xml:space="preserve">.1 </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提供的服务不符合合同规定的，</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有权拒绝接收服务，并且</w:t>
      </w:r>
      <w:r>
        <w:rPr>
          <w:rFonts w:hint="eastAsia" w:ascii="宋体" w:hAnsi="宋体" w:cs="宋体"/>
          <w:bCs/>
          <w:sz w:val="28"/>
          <w:szCs w:val="28"/>
          <w:highlight w:val="none"/>
          <w:lang w:val="en-US" w:eastAsia="zh-CN"/>
        </w:rPr>
        <w:t>供应商</w:t>
      </w:r>
      <w:r>
        <w:rPr>
          <w:rFonts w:hint="eastAsia" w:ascii="宋体" w:hAnsi="宋体" w:eastAsia="宋体" w:cs="宋体"/>
          <w:bCs/>
          <w:sz w:val="28"/>
          <w:szCs w:val="28"/>
          <w:highlight w:val="none"/>
        </w:rPr>
        <w:t>须向</w:t>
      </w:r>
      <w:r>
        <w:rPr>
          <w:rFonts w:hint="eastAsia" w:ascii="宋体" w:hAnsi="宋体" w:cs="宋体"/>
          <w:bCs/>
          <w:sz w:val="28"/>
          <w:szCs w:val="28"/>
          <w:highlight w:val="none"/>
          <w:lang w:eastAsia="zh-CN"/>
        </w:rPr>
        <w:t>采购人</w:t>
      </w:r>
      <w:r>
        <w:rPr>
          <w:rFonts w:hint="eastAsia" w:ascii="宋体" w:hAnsi="宋体" w:cs="宋体"/>
          <w:bCs/>
          <w:sz w:val="28"/>
          <w:szCs w:val="28"/>
          <w:highlight w:val="none"/>
          <w:lang w:val="en-US" w:eastAsia="zh-CN"/>
        </w:rPr>
        <w:t>退还服务费</w:t>
      </w:r>
      <w:r>
        <w:rPr>
          <w:rFonts w:hint="eastAsia" w:ascii="宋体" w:hAnsi="宋体" w:eastAsia="宋体" w:cs="宋体"/>
          <w:bCs/>
          <w:sz w:val="28"/>
          <w:szCs w:val="28"/>
          <w:highlight w:val="none"/>
        </w:rPr>
        <w:t>。</w:t>
      </w:r>
    </w:p>
    <w:p>
      <w:pPr>
        <w:spacing w:line="360" w:lineRule="auto"/>
        <w:ind w:firstLine="560" w:firstLineChars="200"/>
        <w:rPr>
          <w:rFonts w:hint="default"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5</w:t>
      </w:r>
      <w:r>
        <w:rPr>
          <w:rFonts w:hint="eastAsia" w:ascii="宋体" w:hAnsi="宋体" w:eastAsia="宋体" w:cs="宋体"/>
          <w:bCs/>
          <w:sz w:val="28"/>
          <w:szCs w:val="28"/>
          <w:highlight w:val="none"/>
          <w:lang w:val="en-US" w:eastAsia="zh-CN"/>
        </w:rPr>
        <w:t xml:space="preserve">.2 </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未能按本合同规定提供服务的，从逾期之日起每日按合同总价 3‰的数额向</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支付违约金，累计不超过本合同总价的5%；逾期</w:t>
      </w:r>
      <w:r>
        <w:rPr>
          <w:rFonts w:hint="default" w:ascii="宋体" w:hAnsi="宋体" w:eastAsia="宋体" w:cs="宋体"/>
          <w:bCs/>
          <w:sz w:val="28"/>
          <w:szCs w:val="28"/>
          <w:highlight w:val="none"/>
          <w:lang w:val="en-US"/>
        </w:rPr>
        <w:t>15</w:t>
      </w:r>
      <w:r>
        <w:rPr>
          <w:rFonts w:hint="eastAsia" w:ascii="宋体" w:hAnsi="宋体" w:eastAsia="宋体" w:cs="宋体"/>
          <w:bCs/>
          <w:sz w:val="28"/>
          <w:szCs w:val="28"/>
          <w:highlight w:val="none"/>
        </w:rPr>
        <w:t>天以上（含</w:t>
      </w:r>
      <w:r>
        <w:rPr>
          <w:rFonts w:hint="default" w:ascii="宋体" w:hAnsi="宋体" w:eastAsia="宋体" w:cs="宋体"/>
          <w:bCs/>
          <w:sz w:val="28"/>
          <w:szCs w:val="28"/>
          <w:highlight w:val="none"/>
          <w:lang w:val="en-US"/>
        </w:rPr>
        <w:t>15</w:t>
      </w:r>
      <w:r>
        <w:rPr>
          <w:rFonts w:hint="eastAsia" w:ascii="宋体" w:hAnsi="宋体" w:eastAsia="宋体" w:cs="宋体"/>
          <w:bCs/>
          <w:sz w:val="28"/>
          <w:szCs w:val="28"/>
          <w:highlight w:val="none"/>
        </w:rPr>
        <w:t>天）的，</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有权终止合同，要求</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支付违约金，并且给</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造成损失的由</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承担一切赔偿责任及法律责任</w:t>
      </w:r>
      <w:r>
        <w:rPr>
          <w:rFonts w:hint="eastAsia" w:ascii="宋体" w:hAnsi="宋体" w:cs="宋体"/>
          <w:bCs/>
          <w:sz w:val="28"/>
          <w:szCs w:val="28"/>
          <w:highlight w:val="none"/>
          <w:lang w:eastAsia="zh-CN"/>
        </w:rPr>
        <w:t>，</w:t>
      </w:r>
      <w:r>
        <w:rPr>
          <w:rFonts w:hint="eastAsia" w:ascii="宋体" w:hAnsi="宋体" w:cs="宋体"/>
          <w:bCs/>
          <w:sz w:val="28"/>
          <w:szCs w:val="28"/>
          <w:highlight w:val="none"/>
          <w:lang w:val="en-US" w:eastAsia="zh-CN"/>
        </w:rPr>
        <w:t>非供应商原因或采购人自身原因除外。</w:t>
      </w:r>
    </w:p>
    <w:p>
      <w:pPr>
        <w:spacing w:line="360" w:lineRule="auto"/>
        <w:ind w:firstLine="560" w:firstLineChars="200"/>
        <w:rPr>
          <w:rFonts w:hint="eastAsia" w:ascii="宋体" w:hAnsi="宋体" w:eastAsia="宋体" w:cs="宋体"/>
          <w:bCs/>
          <w:sz w:val="28"/>
          <w:szCs w:val="28"/>
          <w:highlight w:val="none"/>
        </w:rPr>
      </w:pPr>
      <w:r>
        <w:rPr>
          <w:rFonts w:hint="eastAsia" w:ascii="宋体" w:hAnsi="宋体" w:cs="宋体"/>
          <w:bCs/>
          <w:sz w:val="28"/>
          <w:szCs w:val="28"/>
          <w:highlight w:val="none"/>
          <w:lang w:val="en-US" w:eastAsia="zh-CN"/>
        </w:rPr>
        <w:t>5</w:t>
      </w:r>
      <w:r>
        <w:rPr>
          <w:rFonts w:hint="eastAsia" w:ascii="宋体" w:hAnsi="宋体" w:eastAsia="宋体" w:cs="宋体"/>
          <w:bCs/>
          <w:sz w:val="28"/>
          <w:szCs w:val="28"/>
          <w:highlight w:val="none"/>
          <w:lang w:val="en-US" w:eastAsia="zh-CN"/>
        </w:rPr>
        <w:t xml:space="preserve">.3 </w:t>
      </w:r>
      <w:r>
        <w:rPr>
          <w:rFonts w:hint="eastAsia" w:ascii="宋体" w:hAnsi="宋体" w:cs="宋体"/>
          <w:bCs/>
          <w:sz w:val="28"/>
          <w:szCs w:val="28"/>
          <w:highlight w:val="none"/>
          <w:lang w:eastAsia="zh-CN"/>
        </w:rPr>
        <w:t>采购人</w:t>
      </w:r>
      <w:r>
        <w:rPr>
          <w:rFonts w:hint="eastAsia" w:ascii="宋体" w:hAnsi="宋体" w:eastAsia="宋体" w:cs="宋体"/>
          <w:bCs/>
          <w:sz w:val="28"/>
          <w:szCs w:val="28"/>
          <w:highlight w:val="none"/>
        </w:rPr>
        <w:t>逾期付款，则每日按</w:t>
      </w:r>
      <w:r>
        <w:rPr>
          <w:rFonts w:hint="eastAsia" w:ascii="宋体" w:hAnsi="宋体" w:cs="宋体"/>
          <w:bCs/>
          <w:sz w:val="28"/>
          <w:szCs w:val="28"/>
          <w:highlight w:val="none"/>
          <w:lang w:val="en-US" w:eastAsia="zh-CN"/>
        </w:rPr>
        <w:t>应付未付款</w:t>
      </w:r>
      <w:r>
        <w:rPr>
          <w:rFonts w:hint="eastAsia" w:ascii="宋体" w:hAnsi="宋体" w:eastAsia="宋体" w:cs="宋体"/>
          <w:bCs/>
          <w:sz w:val="28"/>
          <w:szCs w:val="28"/>
          <w:highlight w:val="none"/>
        </w:rPr>
        <w:t>的 3‰向</w:t>
      </w:r>
      <w:r>
        <w:rPr>
          <w:rFonts w:hint="eastAsia" w:ascii="宋体" w:hAnsi="宋体" w:cs="宋体"/>
          <w:bCs/>
          <w:sz w:val="28"/>
          <w:szCs w:val="28"/>
          <w:highlight w:val="none"/>
          <w:lang w:eastAsia="zh-CN"/>
        </w:rPr>
        <w:t>供应商</w:t>
      </w:r>
      <w:r>
        <w:rPr>
          <w:rFonts w:hint="eastAsia" w:ascii="宋体" w:hAnsi="宋体" w:eastAsia="宋体" w:cs="宋体"/>
          <w:bCs/>
          <w:sz w:val="28"/>
          <w:szCs w:val="28"/>
          <w:highlight w:val="none"/>
        </w:rPr>
        <w:t>偿付违约金，累计不超过本合同总价的5%。</w:t>
      </w:r>
    </w:p>
    <w:p>
      <w:pPr>
        <w:adjustRightInd w:val="0"/>
        <w:snapToGrid w:val="0"/>
        <w:spacing w:line="360" w:lineRule="auto"/>
        <w:ind w:firstLine="560" w:firstLineChars="200"/>
        <w:rPr>
          <w:rFonts w:hint="eastAsia" w:ascii="宋体" w:hAnsi="宋体" w:eastAsia="宋体" w:cs="宋体"/>
          <w:bCs/>
          <w:sz w:val="28"/>
          <w:szCs w:val="28"/>
          <w:highlight w:val="none"/>
        </w:rPr>
      </w:pPr>
      <w:r>
        <w:rPr>
          <w:rFonts w:hint="eastAsia" w:ascii="宋体" w:hAnsi="宋体" w:cs="宋体"/>
          <w:bCs/>
          <w:sz w:val="28"/>
          <w:szCs w:val="28"/>
          <w:highlight w:val="none"/>
          <w:lang w:val="en-US" w:eastAsia="zh-CN"/>
        </w:rPr>
        <w:t>5</w:t>
      </w:r>
      <w:r>
        <w:rPr>
          <w:rFonts w:hint="eastAsia" w:ascii="宋体" w:hAnsi="宋体" w:eastAsia="宋体" w:cs="宋体"/>
          <w:bCs/>
          <w:sz w:val="28"/>
          <w:szCs w:val="28"/>
          <w:highlight w:val="none"/>
          <w:lang w:val="en-US" w:eastAsia="zh-CN"/>
        </w:rPr>
        <w:t xml:space="preserve">.4 </w:t>
      </w:r>
      <w:r>
        <w:rPr>
          <w:rFonts w:hint="eastAsia" w:ascii="宋体" w:hAnsi="宋体" w:eastAsia="宋体" w:cs="宋体"/>
          <w:bCs/>
          <w:sz w:val="28"/>
          <w:szCs w:val="28"/>
          <w:highlight w:val="none"/>
        </w:rPr>
        <w:t>其它违约责任按《中华人民共和国民法典》、《中华人民共和国消费者权益保护法》、《中华人民共和国产品质量法》处理。</w:t>
      </w:r>
    </w:p>
    <w:p>
      <w:pPr>
        <w:rPr>
          <w:highlight w:val="none"/>
        </w:rPr>
      </w:pPr>
    </w:p>
    <w:sectPr>
      <w:headerReference r:id="rId3" w:type="default"/>
      <w:footerReference r:id="rId4" w:type="default"/>
      <w:pgSz w:w="11850" w:h="16783"/>
      <w:pgMar w:top="1440" w:right="1083" w:bottom="1440" w:left="1083" w:header="737" w:footer="454"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lang w:val="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p>
    <w:pPr>
      <w:pStyle w:val="8"/>
      <w:tabs>
        <w:tab w:val="left" w:pos="5954"/>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南方医科大学第</w:t>
    </w:r>
    <w:r>
      <w:rPr>
        <w:rFonts w:hint="eastAsia"/>
        <w:lang w:eastAsia="zh-CN"/>
      </w:rPr>
      <w:t>七</w:t>
    </w:r>
    <w:r>
      <w:rPr>
        <w:rFonts w:hint="eastAsia"/>
      </w:rPr>
      <w:t>附属医院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DF7FE"/>
    <w:multiLevelType w:val="singleLevel"/>
    <w:tmpl w:val="C0BDF7FE"/>
    <w:lvl w:ilvl="0" w:tentative="0">
      <w:start w:val="1"/>
      <w:numFmt w:val="upperLetter"/>
      <w:suff w:val="nothing"/>
      <w:lvlText w:val="%1."/>
      <w:lvlJc w:val="left"/>
      <w:pPr>
        <w:ind w:left="454" w:leftChars="0" w:hanging="57" w:firstLineChars="0"/>
      </w:pPr>
      <w:rPr>
        <w:rFonts w:hint="default"/>
      </w:rPr>
    </w:lvl>
  </w:abstractNum>
  <w:abstractNum w:abstractNumId="1">
    <w:nsid w:val="D84CE0CB"/>
    <w:multiLevelType w:val="singleLevel"/>
    <w:tmpl w:val="D84CE0CB"/>
    <w:lvl w:ilvl="0" w:tentative="0">
      <w:start w:val="1"/>
      <w:numFmt w:val="lowerLetter"/>
      <w:suff w:val="nothing"/>
      <w:lvlText w:val="%1."/>
      <w:lvlJc w:val="left"/>
      <w:pPr>
        <w:ind w:left="454" w:leftChars="0" w:firstLine="340" w:firstLineChars="0"/>
      </w:pPr>
      <w:rPr>
        <w:rFonts w:hint="default"/>
      </w:rPr>
    </w:lvl>
  </w:abstractNum>
  <w:abstractNum w:abstractNumId="2">
    <w:nsid w:val="344A32B5"/>
    <w:multiLevelType w:val="singleLevel"/>
    <w:tmpl w:val="344A32B5"/>
    <w:lvl w:ilvl="0" w:tentative="0">
      <w:start w:val="1"/>
      <w:numFmt w:val="upperLetter"/>
      <w:suff w:val="nothing"/>
      <w:lvlText w:val="%1."/>
      <w:lvlJc w:val="left"/>
      <w:pPr>
        <w:ind w:left="454" w:leftChars="0" w:hanging="51" w:firstLineChars="0"/>
      </w:pPr>
      <w:rPr>
        <w:rFonts w:hint="default"/>
      </w:rPr>
    </w:lvl>
  </w:abstractNum>
  <w:abstractNum w:abstractNumId="3">
    <w:nsid w:val="678C29BE"/>
    <w:multiLevelType w:val="singleLevel"/>
    <w:tmpl w:val="678C29BE"/>
    <w:lvl w:ilvl="0" w:tentative="0">
      <w:start w:val="1"/>
      <w:numFmt w:val="upperLetter"/>
      <w:suff w:val="nothing"/>
      <w:lvlText w:val="%1."/>
      <w:lvlJc w:val="left"/>
      <w:pPr>
        <w:ind w:left="425" w:hanging="22"/>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ODZhNzQ5ZTM5MTUzMzE0ZjQ3NmNhYWUwOTRlNjIifQ=="/>
  </w:docVars>
  <w:rsids>
    <w:rsidRoot w:val="00172A27"/>
    <w:rsid w:val="043A366E"/>
    <w:rsid w:val="04E37860"/>
    <w:rsid w:val="06567F27"/>
    <w:rsid w:val="075D39C7"/>
    <w:rsid w:val="08D72FD8"/>
    <w:rsid w:val="09AF7839"/>
    <w:rsid w:val="0B732A6F"/>
    <w:rsid w:val="0C1D2194"/>
    <w:rsid w:val="0C7A4CB8"/>
    <w:rsid w:val="0D227681"/>
    <w:rsid w:val="0EB312D7"/>
    <w:rsid w:val="0EE3782D"/>
    <w:rsid w:val="0F73174D"/>
    <w:rsid w:val="0FA84941"/>
    <w:rsid w:val="10947BCD"/>
    <w:rsid w:val="114917E9"/>
    <w:rsid w:val="122E4051"/>
    <w:rsid w:val="17991F6C"/>
    <w:rsid w:val="17E95408"/>
    <w:rsid w:val="18682BB0"/>
    <w:rsid w:val="191932A1"/>
    <w:rsid w:val="1BF34341"/>
    <w:rsid w:val="1E26199E"/>
    <w:rsid w:val="1F9E459B"/>
    <w:rsid w:val="209B7B47"/>
    <w:rsid w:val="23071A1A"/>
    <w:rsid w:val="23F43328"/>
    <w:rsid w:val="265E1484"/>
    <w:rsid w:val="27D53479"/>
    <w:rsid w:val="27E67E84"/>
    <w:rsid w:val="298415B4"/>
    <w:rsid w:val="29CB3F21"/>
    <w:rsid w:val="29EC212B"/>
    <w:rsid w:val="2DB84179"/>
    <w:rsid w:val="2FEC137B"/>
    <w:rsid w:val="339A7554"/>
    <w:rsid w:val="365E6403"/>
    <w:rsid w:val="36F6663C"/>
    <w:rsid w:val="37160580"/>
    <w:rsid w:val="37E06D6E"/>
    <w:rsid w:val="39C95D57"/>
    <w:rsid w:val="3DBA66FA"/>
    <w:rsid w:val="3F9E79D3"/>
    <w:rsid w:val="404F4A50"/>
    <w:rsid w:val="42002A64"/>
    <w:rsid w:val="4375678F"/>
    <w:rsid w:val="46D63D94"/>
    <w:rsid w:val="47D6229D"/>
    <w:rsid w:val="4C1C049B"/>
    <w:rsid w:val="4CF041CF"/>
    <w:rsid w:val="4DAD0D3F"/>
    <w:rsid w:val="4E655418"/>
    <w:rsid w:val="4F391364"/>
    <w:rsid w:val="52F61E27"/>
    <w:rsid w:val="53514ECE"/>
    <w:rsid w:val="53FA4D30"/>
    <w:rsid w:val="549A39A2"/>
    <w:rsid w:val="54A45233"/>
    <w:rsid w:val="56200EC5"/>
    <w:rsid w:val="57A51E64"/>
    <w:rsid w:val="595D1E03"/>
    <w:rsid w:val="59AD1A07"/>
    <w:rsid w:val="5F2269D4"/>
    <w:rsid w:val="632A4DB1"/>
    <w:rsid w:val="63EF7947"/>
    <w:rsid w:val="66D53C05"/>
    <w:rsid w:val="682B2BEF"/>
    <w:rsid w:val="69072825"/>
    <w:rsid w:val="6CB55980"/>
    <w:rsid w:val="6E163F2D"/>
    <w:rsid w:val="70662D7E"/>
    <w:rsid w:val="71E023D5"/>
    <w:rsid w:val="760C1EC5"/>
    <w:rsid w:val="787C3C88"/>
    <w:rsid w:val="78AA478D"/>
    <w:rsid w:val="7AB3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560" w:lineRule="exact"/>
      <w:ind w:left="0"/>
      <w:jc w:val="center"/>
      <w:outlineLvl w:val="0"/>
    </w:pPr>
    <w:rPr>
      <w:rFonts w:ascii="Microsoft JhengHei UI" w:hAnsi="Microsoft JhengHei UI" w:eastAsia="方正小标宋简体" w:cs="Microsoft JhengHei UI"/>
      <w:bCs/>
      <w:sz w:val="44"/>
      <w:szCs w:val="30"/>
      <w:lang w:val="zh-CN" w:bidi="zh-CN"/>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4"/>
    <w:next w:val="1"/>
    <w:qFormat/>
    <w:uiPriority w:val="0"/>
    <w:pPr>
      <w:ind w:firstLine="420"/>
    </w:pPr>
    <w:rPr>
      <w:szCs w:val="20"/>
    </w:rPr>
  </w:style>
  <w:style w:type="paragraph" w:customStyle="1" w:styleId="4">
    <w:name w:val="正文_0_0"/>
    <w:basedOn w:val="5"/>
    <w:next w:val="3"/>
    <w:qFormat/>
    <w:uiPriority w:val="0"/>
  </w:style>
  <w:style w:type="paragraph" w:customStyle="1" w:styleId="5">
    <w:name w:val="正文_0"/>
    <w:next w:val="3"/>
    <w:qFormat/>
    <w:uiPriority w:val="0"/>
    <w:pPr>
      <w:widowControl w:val="0"/>
      <w:jc w:val="both"/>
    </w:pPr>
    <w:rPr>
      <w:rFonts w:ascii="Times New Roman" w:hAnsi="Times New Roman" w:eastAsia="宋体" w:cs="Times New Roman"/>
      <w:kern w:val="2"/>
      <w:sz w:val="21"/>
      <w:lang w:val="en-US" w:eastAsia="zh-CN" w:bidi="ar-SA"/>
    </w:rPr>
  </w:style>
  <w:style w:type="paragraph" w:styleId="6">
    <w:name w:val="annotation text"/>
    <w:basedOn w:val="1"/>
    <w:semiHidden/>
    <w:qFormat/>
    <w:uiPriority w:val="0"/>
    <w:pPr>
      <w:jc w:val="left"/>
    </w:pPr>
  </w:style>
  <w:style w:type="paragraph" w:styleId="7">
    <w:name w:val="Body Text"/>
    <w:basedOn w:val="1"/>
    <w:next w:val="1"/>
    <w:qFormat/>
    <w:uiPriority w:val="0"/>
    <w:pPr>
      <w:spacing w:line="360" w:lineRule="auto"/>
    </w:pPr>
    <w:rPr>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sz w:val="18"/>
    </w:rPr>
  </w:style>
  <w:style w:type="paragraph" w:styleId="11">
    <w:name w:val="Body Text First Indent"/>
    <w:basedOn w:val="7"/>
    <w:qFormat/>
    <w:uiPriority w:val="0"/>
    <w:pPr>
      <w:spacing w:after="120" w:line="240" w:lineRule="auto"/>
      <w:ind w:firstLine="420" w:firstLineChars="100"/>
    </w:pPr>
    <w:rPr>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otnote reference"/>
    <w:basedOn w:val="14"/>
    <w:qFormat/>
    <w:uiPriority w:val="0"/>
    <w:rPr>
      <w:vertAlign w:val="superscript"/>
    </w:rPr>
  </w:style>
  <w:style w:type="paragraph" w:customStyle="1" w:styleId="16">
    <w:name w:val="表格文字"/>
    <w:basedOn w:val="17"/>
    <w:next w:val="7"/>
    <w:qFormat/>
    <w:uiPriority w:val="0"/>
    <w:pPr>
      <w:spacing w:before="25" w:after="25"/>
      <w:jc w:val="left"/>
    </w:pPr>
    <w:rPr>
      <w:bCs/>
      <w:spacing w:val="10"/>
      <w:kern w:val="0"/>
      <w:sz w:val="24"/>
      <w:szCs w:val="20"/>
    </w:rPr>
  </w:style>
  <w:style w:type="paragraph" w:customStyle="1" w:styleId="17">
    <w:name w:val="正文 New New New New New New New New New New New New New New New New New New New New New New New New New New New New New New New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_1"/>
    <w:qFormat/>
    <w:uiPriority w:val="0"/>
    <w:pPr>
      <w:widowControl w:val="0"/>
      <w:jc w:val="both"/>
    </w:pPr>
    <w:rPr>
      <w:rFonts w:ascii="Times New Roman" w:hAnsi="Times New Roman" w:eastAsia="宋体" w:cs="Calibri"/>
      <w:kern w:val="2"/>
      <w:sz w:val="21"/>
      <w:szCs w:val="21"/>
      <w:lang w:val="en-US" w:eastAsia="zh-CN" w:bidi="ar-SA"/>
    </w:rPr>
  </w:style>
  <w:style w:type="paragraph" w:styleId="19">
    <w:name w:val="List Paragraph"/>
    <w:basedOn w:val="1"/>
    <w:qFormat/>
    <w:uiPriority w:val="99"/>
    <w:pPr>
      <w:ind w:firstLine="420" w:firstLineChars="200"/>
    </w:pPr>
  </w:style>
  <w:style w:type="paragraph" w:customStyle="1" w:styleId="2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2023-10-10T01:45:00Z</dcterms:created>
  <dc:creator>LZ</dc:creator>
  <cp:lastModifiedBy>xiao</cp:lastModifiedBy>
  <dcterms:modified xsi:type="dcterms:W3CDTF">2023-10-25T08:15:19Z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230B505C4739405C8A18441EC566CCFD_13</vt:lpwstr>
  </property>
</Properties>
</file>